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141"/>
        <w:jc w:val="center"/>
      </w:pPr>
      <w:bookmarkStart w:name="1 – European Commission – SK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SK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Rukopis</w:t>
      </w:r>
      <w:r>
        <w:rPr>
          <w:spacing w:val="-3"/>
        </w:rPr>
        <w:t> </w:t>
      </w:r>
      <w:r>
        <w:rPr/>
        <w:t>bol</w:t>
      </w:r>
      <w:r>
        <w:rPr>
          <w:spacing w:val="-3"/>
        </w:rPr>
        <w:t> </w:t>
      </w:r>
      <w:r>
        <w:rPr/>
        <w:t>dokončený</w:t>
      </w:r>
      <w:r>
        <w:rPr>
          <w:spacing w:val="-3"/>
        </w:rPr>
        <w:t> </w:t>
      </w:r>
      <w:r>
        <w:rPr/>
        <w:t>v</w:t>
      </w:r>
      <w:r>
        <w:rPr>
          <w:spacing w:val="-3"/>
        </w:rPr>
        <w:t> </w:t>
      </w:r>
      <w:r>
        <w:rPr/>
        <w:t>[mesiac]</w:t>
      </w:r>
      <w:r>
        <w:rPr>
          <w:spacing w:val="-2"/>
        </w:rPr>
        <w:t> [rok]</w:t>
      </w:r>
    </w:p>
    <w:p>
      <w:pPr>
        <w:pStyle w:val="BodyText"/>
        <w:spacing w:line="540" w:lineRule="atLeast"/>
        <w:ind w:right="4010"/>
      </w:pPr>
      <w:r>
        <w:rPr/>
        <w:t>Revidované</w:t>
      </w:r>
      <w:r>
        <w:rPr>
          <w:spacing w:val="-13"/>
        </w:rPr>
        <w:t> </w:t>
      </w:r>
      <w:r>
        <w:rPr/>
        <w:t>vydanie/Korigované</w:t>
      </w:r>
      <w:r>
        <w:rPr>
          <w:spacing w:val="-13"/>
        </w:rPr>
        <w:t> </w:t>
      </w:r>
      <w:r>
        <w:rPr/>
        <w:t>vydanie/Prvé/Druhé/</w:t>
      </w:r>
      <w:r>
        <w:rPr>
          <w:i/>
        </w:rPr>
        <w:t>n</w:t>
      </w:r>
      <w:r>
        <w:rPr/>
        <w:t>-té</w:t>
      </w:r>
      <w:r>
        <w:rPr>
          <w:spacing w:val="-13"/>
        </w:rPr>
        <w:t> </w:t>
      </w:r>
      <w:r>
        <w:rPr/>
        <w:t>vydanie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</w:pPr>
      <w:r>
        <w:rPr/>
        <w:t>Tento</w:t>
      </w:r>
      <w:r>
        <w:rPr>
          <w:spacing w:val="-6"/>
        </w:rPr>
        <w:t> </w:t>
      </w:r>
      <w:r>
        <w:rPr/>
        <w:t>dokument</w:t>
      </w:r>
      <w:r>
        <w:rPr>
          <w:spacing w:val="-6"/>
        </w:rPr>
        <w:t> </w:t>
      </w:r>
      <w:r>
        <w:rPr/>
        <w:t>by</w:t>
      </w:r>
      <w:r>
        <w:rPr>
          <w:spacing w:val="-6"/>
        </w:rPr>
        <w:t> </w:t>
      </w:r>
      <w:r>
        <w:rPr/>
        <w:t>sa</w:t>
      </w:r>
      <w:r>
        <w:rPr>
          <w:spacing w:val="-6"/>
        </w:rPr>
        <w:t> </w:t>
      </w:r>
      <w:r>
        <w:rPr/>
        <w:t>nemal</w:t>
      </w:r>
      <w:r>
        <w:rPr>
          <w:spacing w:val="-6"/>
        </w:rPr>
        <w:t> </w:t>
      </w:r>
      <w:r>
        <w:rPr/>
        <w:t>považovať</w:t>
      </w:r>
      <w:r>
        <w:rPr>
          <w:spacing w:val="-6"/>
        </w:rPr>
        <w:t> </w:t>
      </w:r>
      <w:r>
        <w:rPr/>
        <w:t>za</w:t>
      </w:r>
      <w:r>
        <w:rPr>
          <w:spacing w:val="-6"/>
        </w:rPr>
        <w:t> </w:t>
      </w:r>
      <w:r>
        <w:rPr/>
        <w:t>dokument</w:t>
      </w:r>
      <w:r>
        <w:rPr>
          <w:spacing w:val="-6"/>
        </w:rPr>
        <w:t> </w:t>
      </w:r>
      <w:r>
        <w:rPr/>
        <w:t>predstavujúci</w:t>
      </w:r>
      <w:r>
        <w:rPr>
          <w:spacing w:val="-6"/>
        </w:rPr>
        <w:t> </w:t>
      </w:r>
      <w:r>
        <w:rPr/>
        <w:t>oficiálne</w:t>
      </w:r>
      <w:r>
        <w:rPr>
          <w:spacing w:val="-6"/>
        </w:rPr>
        <w:t> </w:t>
      </w:r>
      <w:r>
        <w:rPr/>
        <w:t>stanovisko</w:t>
      </w:r>
      <w:r>
        <w:rPr>
          <w:spacing w:val="-6"/>
        </w:rPr>
        <w:t> </w:t>
      </w:r>
      <w:r>
        <w:rPr/>
        <w:t>Európskej</w:t>
      </w:r>
      <w:r>
        <w:rPr>
          <w:spacing w:val="-6"/>
        </w:rPr>
        <w:t> </w:t>
      </w:r>
      <w:r>
        <w:rPr/>
        <w:t>komisie. Luxemburg: Úrad pre vydávanie publikácií Európskej únie, [rok]</w:t>
      </w:r>
    </w:p>
    <w:p>
      <w:pPr>
        <w:pStyle w:val="BodyText"/>
        <w:spacing w:line="348" w:lineRule="auto"/>
        <w:ind w:right="4010"/>
      </w:pPr>
      <w:r>
        <w:rPr/>
        <w:t>©</w:t>
      </w:r>
      <w:r>
        <w:rPr>
          <w:spacing w:val="-6"/>
        </w:rPr>
        <w:t> </w:t>
      </w:r>
      <w:r>
        <w:rPr/>
        <w:t>[Európska</w:t>
      </w:r>
      <w:r>
        <w:rPr>
          <w:spacing w:val="-6"/>
        </w:rPr>
        <w:t> </w:t>
      </w:r>
      <w:r>
        <w:rPr/>
        <w:t>únia/Európske</w:t>
      </w:r>
      <w:r>
        <w:rPr>
          <w:spacing w:val="-6"/>
        </w:rPr>
        <w:t> </w:t>
      </w:r>
      <w:r>
        <w:rPr/>
        <w:t>spoločenstvo</w:t>
      </w:r>
      <w:r>
        <w:rPr>
          <w:spacing w:val="-6"/>
        </w:rPr>
        <w:t> </w:t>
      </w:r>
      <w:r>
        <w:rPr/>
        <w:t>pre</w:t>
      </w:r>
      <w:r>
        <w:rPr>
          <w:spacing w:val="-6"/>
        </w:rPr>
        <w:t> </w:t>
      </w:r>
      <w:r>
        <w:rPr/>
        <w:t>atómovú</w:t>
      </w:r>
      <w:r>
        <w:rPr>
          <w:spacing w:val="-6"/>
        </w:rPr>
        <w:t> </w:t>
      </w:r>
      <w:r>
        <w:rPr/>
        <w:t>energiu],</w:t>
      </w:r>
      <w:r>
        <w:rPr>
          <w:spacing w:val="-6"/>
        </w:rPr>
        <w:t> </w:t>
      </w:r>
      <w:r>
        <w:rPr/>
        <w:t>[rok] </w:t>
      </w:r>
      <w:r>
        <w:rPr>
          <w:color w:val="FF0000"/>
        </w:rPr>
        <w:t>Or, if an AI tool has been used:</w:t>
      </w:r>
    </w:p>
    <w:p>
      <w:pPr>
        <w:pStyle w:val="BodyText"/>
        <w:spacing w:line="244" w:lineRule="auto"/>
      </w:pPr>
      <w:r>
        <w:rPr/>
        <w:t>©</w:t>
      </w:r>
      <w:r>
        <w:rPr>
          <w:spacing w:val="-4"/>
        </w:rPr>
        <w:t> </w:t>
      </w:r>
      <w:r>
        <w:rPr/>
        <w:t>[Európska</w:t>
      </w:r>
      <w:r>
        <w:rPr>
          <w:spacing w:val="-4"/>
        </w:rPr>
        <w:t> </w:t>
      </w:r>
      <w:r>
        <w:rPr/>
        <w:t>únia/Európske</w:t>
      </w:r>
      <w:r>
        <w:rPr>
          <w:spacing w:val="-4"/>
        </w:rPr>
        <w:t> </w:t>
      </w:r>
      <w:r>
        <w:rPr/>
        <w:t>spoločenstvo</w:t>
      </w:r>
      <w:r>
        <w:rPr>
          <w:spacing w:val="-4"/>
        </w:rPr>
        <w:t> </w:t>
      </w:r>
      <w:r>
        <w:rPr/>
        <w:t>pre</w:t>
      </w:r>
      <w:r>
        <w:rPr>
          <w:spacing w:val="-4"/>
        </w:rPr>
        <w:t> </w:t>
      </w:r>
      <w:r>
        <w:rPr/>
        <w:t>atómovú</w:t>
      </w:r>
      <w:r>
        <w:rPr>
          <w:spacing w:val="-4"/>
        </w:rPr>
        <w:t> </w:t>
      </w:r>
      <w:r>
        <w:rPr/>
        <w:t>energiu],</w:t>
      </w:r>
      <w:r>
        <w:rPr>
          <w:spacing w:val="-4"/>
        </w:rPr>
        <w:t> </w:t>
      </w:r>
      <w:r>
        <w:rPr/>
        <w:t>[rok].</w:t>
      </w:r>
      <w:r>
        <w:rPr>
          <w:spacing w:val="-4"/>
        </w:rPr>
        <w:t> </w:t>
      </w:r>
      <w:r>
        <w:rPr/>
        <w:t>Určitý</w:t>
      </w:r>
      <w:r>
        <w:rPr>
          <w:spacing w:val="-4"/>
        </w:rPr>
        <w:t> </w:t>
      </w:r>
      <w:r>
        <w:rPr/>
        <w:t>obsah</w:t>
      </w:r>
      <w:r>
        <w:rPr>
          <w:spacing w:val="-4"/>
        </w:rPr>
        <w:t> </w:t>
      </w:r>
      <w:r>
        <w:rPr/>
        <w:t>bol</w:t>
      </w:r>
      <w:r>
        <w:rPr>
          <w:spacing w:val="-4"/>
        </w:rPr>
        <w:t> </w:t>
      </w:r>
      <w:r>
        <w:rPr/>
        <w:t>vytvorený</w:t>
      </w:r>
      <w:r>
        <w:rPr>
          <w:spacing w:val="-4"/>
        </w:rPr>
        <w:t> </w:t>
      </w:r>
      <w:r>
        <w:rPr/>
        <w:t>pomocou</w:t>
      </w:r>
      <w:r>
        <w:rPr>
          <w:spacing w:val="-4"/>
        </w:rPr>
        <w:t> </w:t>
      </w:r>
      <w:r>
        <w:rPr/>
        <w:t>[názov nástroja AI].</w:t>
      </w:r>
    </w:p>
    <w:p>
      <w:pPr>
        <w:pStyle w:val="BodyText"/>
        <w:spacing w:before="187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244" w:lineRule="auto" w:before="51"/>
        <w:ind w:right="964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503999</wp:posOffset>
                </wp:positionH>
                <wp:positionV relativeFrom="paragraph">
                  <wp:posOffset>460616</wp:posOffset>
                </wp:positionV>
                <wp:extent cx="2326005" cy="3810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232600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326005" h="3810">
                              <a:moveTo>
                                <a:pt x="2325877" y="3340"/>
                              </a:moveTo>
                              <a:lnTo>
                                <a:pt x="0" y="3340"/>
                              </a:lnTo>
                              <a:lnTo>
                                <a:pt x="0" y="0"/>
                              </a:lnTo>
                              <a:lnTo>
                                <a:pt x="2325877" y="0"/>
                              </a:lnTo>
                              <a:lnTo>
                                <a:pt x="2325877" y="33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36.268997pt;width:183.139999pt;height:.263pt;mso-position-horizontal-relative:page;mso-position-vertical-relative:paragraph;z-index:15729664" id="docshape7" filled="true" fillcolor="#0000ff" stroked="false">
                <v:fill type="solid"/>
                <w10:wrap type="none"/>
              </v:rect>
            </w:pict>
          </mc:Fallback>
        </mc:AlternateContent>
      </w:r>
      <w:r>
        <w:rPr/>
        <w:t>Politika</w:t>
      </w:r>
      <w:r>
        <w:rPr>
          <w:spacing w:val="-4"/>
        </w:rPr>
        <w:t> </w:t>
      </w:r>
      <w:r>
        <w:rPr/>
        <w:t>Komisie</w:t>
      </w:r>
      <w:r>
        <w:rPr>
          <w:spacing w:val="-4"/>
        </w:rPr>
        <w:t> </w:t>
      </w:r>
      <w:r>
        <w:rPr/>
        <w:t>týkajúca</w:t>
      </w:r>
      <w:r>
        <w:rPr>
          <w:spacing w:val="-4"/>
        </w:rPr>
        <w:t> </w:t>
      </w:r>
      <w:r>
        <w:rPr/>
        <w:t>sa</w:t>
      </w:r>
      <w:r>
        <w:rPr>
          <w:spacing w:val="-4"/>
        </w:rPr>
        <w:t> </w:t>
      </w:r>
      <w:r>
        <w:rPr/>
        <w:t>opakovaného</w:t>
      </w:r>
      <w:r>
        <w:rPr>
          <w:spacing w:val="-4"/>
        </w:rPr>
        <w:t> </w:t>
      </w:r>
      <w:r>
        <w:rPr/>
        <w:t>použitia</w:t>
      </w:r>
      <w:r>
        <w:rPr>
          <w:spacing w:val="-4"/>
        </w:rPr>
        <w:t> </w:t>
      </w:r>
      <w:r>
        <w:rPr/>
        <w:t>materiálov</w:t>
      </w:r>
      <w:r>
        <w:rPr>
          <w:spacing w:val="-4"/>
        </w:rPr>
        <w:t> </w:t>
      </w:r>
      <w:r>
        <w:rPr/>
        <w:t>sa</w:t>
      </w:r>
      <w:r>
        <w:rPr>
          <w:spacing w:val="-4"/>
        </w:rPr>
        <w:t> </w:t>
      </w:r>
      <w:r>
        <w:rPr/>
        <w:t>riadi</w:t>
      </w:r>
      <w:r>
        <w:rPr>
          <w:spacing w:val="-4"/>
        </w:rPr>
        <w:t> </w:t>
      </w:r>
      <w:r>
        <w:rPr/>
        <w:t>rozhodnutím</w:t>
      </w:r>
      <w:r>
        <w:rPr>
          <w:spacing w:val="-4"/>
        </w:rPr>
        <w:t> </w:t>
      </w:r>
      <w:r>
        <w:rPr/>
        <w:t>Komisie</w:t>
      </w:r>
      <w:r>
        <w:rPr>
          <w:spacing w:val="-4"/>
        </w:rPr>
        <w:t> </w:t>
      </w:r>
      <w:r>
        <w:rPr/>
        <w:t>2011/833/EÚ z</w:t>
      </w:r>
      <w:r>
        <w:rPr>
          <w:spacing w:val="-6"/>
        </w:rPr>
        <w:t> </w:t>
      </w:r>
      <w:r>
        <w:rPr/>
        <w:t>12.</w:t>
      </w:r>
      <w:r>
        <w:rPr>
          <w:spacing w:val="-6"/>
        </w:rPr>
        <w:t> </w:t>
      </w:r>
      <w:r>
        <w:rPr/>
        <w:t>decembra</w:t>
      </w:r>
      <w:r>
        <w:rPr>
          <w:spacing w:val="-6"/>
        </w:rPr>
        <w:t> </w:t>
      </w:r>
      <w:r>
        <w:rPr/>
        <w:t>2011</w:t>
      </w:r>
      <w:r>
        <w:rPr>
          <w:spacing w:val="-6"/>
        </w:rPr>
        <w:t> </w:t>
      </w:r>
      <w:r>
        <w:rPr/>
        <w:t>o</w:t>
      </w:r>
      <w:r>
        <w:rPr>
          <w:spacing w:val="-6"/>
        </w:rPr>
        <w:t> </w:t>
      </w:r>
      <w:r>
        <w:rPr/>
        <w:t>opakovanom</w:t>
      </w:r>
      <w:r>
        <w:rPr>
          <w:spacing w:val="-6"/>
        </w:rPr>
        <w:t> </w:t>
      </w:r>
      <w:r>
        <w:rPr/>
        <w:t>použití</w:t>
      </w:r>
      <w:r>
        <w:rPr>
          <w:spacing w:val="-6"/>
        </w:rPr>
        <w:t> </w:t>
      </w:r>
      <w:r>
        <w:rPr/>
        <w:t>dokumentov</w:t>
      </w:r>
      <w:r>
        <w:rPr>
          <w:spacing w:val="-6"/>
        </w:rPr>
        <w:t> </w:t>
      </w:r>
      <w:r>
        <w:rPr/>
        <w:t>Komisie</w:t>
      </w:r>
      <w:r>
        <w:rPr>
          <w:spacing w:val="-6"/>
        </w:rPr>
        <w:t> </w:t>
      </w:r>
      <w:r>
        <w:rPr/>
        <w:t>(Ú.</w:t>
      </w:r>
      <w:r>
        <w:rPr>
          <w:spacing w:val="-6"/>
        </w:rPr>
        <w:t> </w:t>
      </w:r>
      <w:r>
        <w:rPr/>
        <w:t>v.</w:t>
      </w:r>
      <w:r>
        <w:rPr>
          <w:spacing w:val="-6"/>
        </w:rPr>
        <w:t> </w:t>
      </w:r>
      <w:r>
        <w:rPr/>
        <w:t>EÚ</w:t>
      </w:r>
      <w:r>
        <w:rPr>
          <w:spacing w:val="-6"/>
        </w:rPr>
        <w:t> </w:t>
      </w:r>
      <w:r>
        <w:rPr/>
        <w:t>L</w:t>
      </w:r>
      <w:r>
        <w:rPr>
          <w:spacing w:val="-6"/>
        </w:rPr>
        <w:t> </w:t>
      </w:r>
      <w:r>
        <w:rPr/>
        <w:t>330,</w:t>
      </w:r>
      <w:r>
        <w:rPr>
          <w:spacing w:val="-6"/>
        </w:rPr>
        <w:t> </w:t>
      </w:r>
      <w:r>
        <w:rPr/>
        <w:t>14.12.2011,</w:t>
      </w:r>
      <w:r>
        <w:rPr>
          <w:spacing w:val="-6"/>
        </w:rPr>
        <w:t> </w:t>
      </w:r>
      <w:r>
        <w:rPr/>
        <w:t>s.</w:t>
      </w:r>
      <w:r>
        <w:rPr>
          <w:spacing w:val="-6"/>
        </w:rPr>
        <w:t> </w:t>
      </w:r>
      <w:r>
        <w:rPr/>
        <w:t>39,</w:t>
      </w:r>
      <w:r>
        <w:rPr>
          <w:spacing w:val="-6"/>
        </w:rPr>
        <w:t> </w:t>
      </w:r>
      <w:r>
        <w:rPr/>
        <w:t>ELI: </w:t>
      </w:r>
      <w:hyperlink r:id="rId6">
        <w:r>
          <w:rPr>
            <w:color w:val="0000FF"/>
            <w:spacing w:val="-2"/>
          </w:rPr>
          <w:t>https://data.europa.eu/eli/dec/2011/833/oj</w:t>
        </w:r>
      </w:hyperlink>
      <w:r>
        <w:rPr>
          <w:spacing w:val="-2"/>
        </w:rPr>
        <w:t>).</w:t>
      </w:r>
    </w:p>
    <w:p>
      <w:pPr>
        <w:pStyle w:val="BodyText"/>
        <w:spacing w:line="244" w:lineRule="auto" w:before="98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492608">
                <wp:simplePos x="0" y="0"/>
                <wp:positionH relativeFrom="page">
                  <wp:posOffset>2817050</wp:posOffset>
                </wp:positionH>
                <wp:positionV relativeFrom="paragraph">
                  <wp:posOffset>342036</wp:posOffset>
                </wp:positionV>
                <wp:extent cx="2504440" cy="3810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2504440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504440" h="3810">
                              <a:moveTo>
                                <a:pt x="2504185" y="3340"/>
                              </a:moveTo>
                              <a:lnTo>
                                <a:pt x="0" y="3340"/>
                              </a:lnTo>
                              <a:lnTo>
                                <a:pt x="0" y="0"/>
                              </a:lnTo>
                              <a:lnTo>
                                <a:pt x="2504185" y="0"/>
                              </a:lnTo>
                              <a:lnTo>
                                <a:pt x="2504185" y="33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1.815002pt;margin-top:26.931986pt;width:197.179993pt;height:.263pt;mso-position-horizontal-relative:page;mso-position-vertical-relative:paragraph;z-index:-15823872" id="docshape8" filled="true" fillcolor="#0000ff" stroked="false">
                <v:fill type="solid"/>
                <w10:wrap type="none"/>
              </v:rect>
            </w:pict>
          </mc:Fallback>
        </mc:AlternateContent>
      </w:r>
      <w:r>
        <w:rPr/>
        <w:t>Ak nie je uvedené inak, opakované použitie tohto dokumentu je povolené v zmysle licencie Creative Commons Attribution</w:t>
      </w:r>
      <w:r>
        <w:rPr>
          <w:spacing w:val="-7"/>
        </w:rPr>
        <w:t> </w:t>
      </w:r>
      <w:r>
        <w:rPr/>
        <w:t>4.0</w:t>
      </w:r>
      <w:r>
        <w:rPr>
          <w:spacing w:val="-7"/>
        </w:rPr>
        <w:t> </w:t>
      </w:r>
      <w:r>
        <w:rPr/>
        <w:t>International</w:t>
      </w:r>
      <w:r>
        <w:rPr>
          <w:spacing w:val="-7"/>
        </w:rPr>
        <w:t> </w:t>
      </w:r>
      <w:r>
        <w:rPr/>
        <w:t>(CC</w:t>
      </w:r>
      <w:r>
        <w:rPr>
          <w:spacing w:val="-7"/>
        </w:rPr>
        <w:t> </w:t>
      </w:r>
      <w:r>
        <w:rPr/>
        <w:t>BY</w:t>
      </w:r>
      <w:r>
        <w:rPr>
          <w:spacing w:val="-7"/>
        </w:rPr>
        <w:t> </w:t>
      </w:r>
      <w:r>
        <w:rPr/>
        <w:t>4.0)</w:t>
      </w:r>
      <w:r>
        <w:rPr>
          <w:spacing w:val="-7"/>
        </w:rPr>
        <w:t> </w:t>
      </w:r>
      <w:r>
        <w:rPr/>
        <w:t>(</w:t>
      </w:r>
      <w:hyperlink r:id="rId7">
        <w:r>
          <w:rPr>
            <w:color w:val="0000FF"/>
          </w:rPr>
          <w:t>https://creativecommons.org/licenses/by/4.0/</w:t>
        </w:r>
      </w:hyperlink>
      <w:r>
        <w:rPr/>
        <w:t>).</w:t>
      </w:r>
      <w:r>
        <w:rPr>
          <w:spacing w:val="-7"/>
        </w:rPr>
        <w:t> </w:t>
      </w:r>
      <w:r>
        <w:rPr/>
        <w:t>To</w:t>
      </w:r>
      <w:r>
        <w:rPr>
          <w:spacing w:val="-7"/>
        </w:rPr>
        <w:t> </w:t>
      </w:r>
      <w:r>
        <w:rPr/>
        <w:t>znamená,</w:t>
      </w:r>
      <w:r>
        <w:rPr>
          <w:spacing w:val="-7"/>
        </w:rPr>
        <w:t> </w:t>
      </w:r>
      <w:r>
        <w:rPr/>
        <w:t>že</w:t>
      </w:r>
      <w:r>
        <w:rPr>
          <w:spacing w:val="-7"/>
        </w:rPr>
        <w:t> </w:t>
      </w:r>
      <w:r>
        <w:rPr/>
        <w:t>opakované použitie je povolené za predpokladu, že sa riadne uvedie zdroj a akékoľvek zmeny.</w:t>
      </w:r>
    </w:p>
    <w:p>
      <w:pPr>
        <w:pStyle w:val="BodyText"/>
        <w:spacing w:before="74"/>
        <w:ind w:left="0"/>
      </w:pPr>
    </w:p>
    <w:p>
      <w:pPr>
        <w:pStyle w:val="BodyText"/>
        <w:spacing w:before="1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44" w:lineRule="auto" w:before="104"/>
      </w:pPr>
      <w:r>
        <w:rPr/>
        <w:t>Akékoľvek použitie alebo reprodukcia prvkov, ktoré nie sú vo vlastníctve Európskej únie, môžu byť podmienené získaním</w:t>
      </w:r>
      <w:r>
        <w:rPr>
          <w:spacing w:val="-5"/>
        </w:rPr>
        <w:t> </w:t>
      </w:r>
      <w:r>
        <w:rPr/>
        <w:t>súhlasu</w:t>
      </w:r>
      <w:r>
        <w:rPr>
          <w:spacing w:val="-5"/>
        </w:rPr>
        <w:t> </w:t>
      </w:r>
      <w:r>
        <w:rPr/>
        <w:t>príslušných</w:t>
      </w:r>
      <w:r>
        <w:rPr>
          <w:spacing w:val="-5"/>
        </w:rPr>
        <w:t> </w:t>
      </w:r>
      <w:r>
        <w:rPr/>
        <w:t>nositeľov</w:t>
      </w:r>
      <w:r>
        <w:rPr>
          <w:spacing w:val="-5"/>
        </w:rPr>
        <w:t> </w:t>
      </w:r>
      <w:r>
        <w:rPr/>
        <w:t>práv.</w:t>
      </w:r>
      <w:r>
        <w:rPr>
          <w:spacing w:val="-5"/>
        </w:rPr>
        <w:t> </w:t>
      </w:r>
      <w:r>
        <w:rPr/>
        <w:t>Európska</w:t>
      </w:r>
      <w:r>
        <w:rPr>
          <w:spacing w:val="-5"/>
        </w:rPr>
        <w:t> </w:t>
      </w:r>
      <w:r>
        <w:rPr/>
        <w:t>únia</w:t>
      </w:r>
      <w:r>
        <w:rPr>
          <w:spacing w:val="-5"/>
        </w:rPr>
        <w:t> </w:t>
      </w:r>
      <w:r>
        <w:rPr/>
        <w:t>nevlastní</w:t>
      </w:r>
      <w:r>
        <w:rPr>
          <w:spacing w:val="-5"/>
        </w:rPr>
        <w:t> </w:t>
      </w:r>
      <w:r>
        <w:rPr/>
        <w:t>autorské</w:t>
      </w:r>
      <w:r>
        <w:rPr>
          <w:spacing w:val="-5"/>
        </w:rPr>
        <w:t> </w:t>
      </w:r>
      <w:r>
        <w:rPr/>
        <w:t>práva</w:t>
      </w:r>
      <w:r>
        <w:rPr>
          <w:spacing w:val="-5"/>
        </w:rPr>
        <w:t> </w:t>
      </w:r>
      <w:r>
        <w:rPr/>
        <w:t>vzťahujúce</w:t>
      </w:r>
      <w:r>
        <w:rPr>
          <w:spacing w:val="-5"/>
        </w:rPr>
        <w:t> </w:t>
      </w:r>
      <w:r>
        <w:rPr/>
        <w:t>sa</w:t>
      </w:r>
      <w:r>
        <w:rPr>
          <w:spacing w:val="-5"/>
        </w:rPr>
        <w:t> </w:t>
      </w:r>
      <w:r>
        <w:rPr/>
        <w:t>na</w:t>
      </w:r>
      <w:r>
        <w:rPr>
          <w:spacing w:val="-5"/>
        </w:rPr>
        <w:t> </w:t>
      </w:r>
      <w:r>
        <w:rPr/>
        <w:t>tieto</w:t>
      </w:r>
      <w:r>
        <w:rPr>
          <w:spacing w:val="-5"/>
        </w:rPr>
        <w:t> </w:t>
      </w:r>
      <w:r>
        <w:rPr/>
        <w:t>prvky: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99" w:after="0"/>
        <w:ind w:left="474" w:right="0" w:hanging="379"/>
        <w:jc w:val="left"/>
        <w:rPr>
          <w:sz w:val="20"/>
        </w:rPr>
      </w:pPr>
      <w:r>
        <w:rPr>
          <w:sz w:val="20"/>
        </w:rPr>
        <w:t>obálka,</w:t>
      </w:r>
      <w:r>
        <w:rPr>
          <w:spacing w:val="-8"/>
          <w:sz w:val="20"/>
        </w:rPr>
        <w:t> </w:t>
      </w:r>
      <w:r>
        <w:rPr>
          <w:sz w:val="20"/>
        </w:rPr>
        <w:t>[predmetný</w:t>
      </w:r>
      <w:r>
        <w:rPr>
          <w:spacing w:val="-7"/>
          <w:sz w:val="20"/>
        </w:rPr>
        <w:t> </w:t>
      </w:r>
      <w:r>
        <w:rPr>
          <w:sz w:val="20"/>
        </w:rPr>
        <w:t>prvok],</w:t>
      </w:r>
      <w:r>
        <w:rPr>
          <w:spacing w:val="-7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zdroj:</w:t>
      </w:r>
      <w:r>
        <w:rPr>
          <w:i/>
          <w:spacing w:val="-6"/>
          <w:sz w:val="20"/>
        </w:rPr>
        <w:t> </w:t>
      </w:r>
      <w:r>
        <w:rPr>
          <w:sz w:val="20"/>
        </w:rPr>
        <w:t>napr.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Unsplash.com],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strana</w:t>
      </w:r>
      <w:r>
        <w:rPr>
          <w:spacing w:val="-8"/>
          <w:sz w:val="20"/>
        </w:rPr>
        <w:t> </w:t>
      </w:r>
      <w:r>
        <w:rPr>
          <w:sz w:val="20"/>
        </w:rPr>
        <w:t>…,</w:t>
      </w:r>
      <w:r>
        <w:rPr>
          <w:spacing w:val="-5"/>
          <w:sz w:val="20"/>
        </w:rPr>
        <w:t> </w:t>
      </w:r>
      <w:r>
        <w:rPr>
          <w:sz w:val="20"/>
        </w:rPr>
        <w:t>[predmetný</w:t>
      </w:r>
      <w:r>
        <w:rPr>
          <w:spacing w:val="-6"/>
          <w:sz w:val="20"/>
        </w:rPr>
        <w:t> </w:t>
      </w:r>
      <w:r>
        <w:rPr>
          <w:sz w:val="20"/>
        </w:rPr>
        <w:t>prvok],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zdroj:</w:t>
      </w:r>
      <w:r>
        <w:rPr>
          <w:i/>
          <w:spacing w:val="-5"/>
          <w:sz w:val="20"/>
        </w:rPr>
        <w:t> </w:t>
      </w:r>
      <w:r>
        <w:rPr>
          <w:sz w:val="20"/>
        </w:rPr>
        <w:t>napr.</w:t>
      </w:r>
      <w:r>
        <w:rPr>
          <w:spacing w:val="-5"/>
          <w:sz w:val="20"/>
        </w:rPr>
        <w:t> </w:t>
      </w:r>
      <w:r>
        <w:rPr>
          <w:sz w:val="20"/>
        </w:rPr>
        <w:t>Adobe</w:t>
      </w:r>
      <w:r>
        <w:rPr>
          <w:spacing w:val="-6"/>
          <w:sz w:val="20"/>
        </w:rPr>
        <w:t> </w:t>
      </w:r>
      <w:r>
        <w:rPr>
          <w:sz w:val="20"/>
        </w:rPr>
        <w:t>Stock],</w:t>
      </w:r>
      <w:r>
        <w:rPr>
          <w:spacing w:val="-5"/>
          <w:sz w:val="20"/>
        </w:rPr>
        <w:t> </w:t>
      </w:r>
      <w:r>
        <w:rPr>
          <w:sz w:val="20"/>
        </w:rPr>
        <w:t>[autor],</w:t>
      </w:r>
      <w:r>
        <w:rPr>
          <w:spacing w:val="-6"/>
          <w:sz w:val="20"/>
        </w:rPr>
        <w:t> </w:t>
      </w:r>
      <w:r>
        <w:rPr>
          <w:sz w:val="20"/>
        </w:rPr>
        <w:t>všetky</w:t>
      </w:r>
      <w:r>
        <w:rPr>
          <w:spacing w:val="-5"/>
          <w:sz w:val="20"/>
        </w:rPr>
        <w:t> </w:t>
      </w:r>
      <w:r>
        <w:rPr>
          <w:sz w:val="20"/>
        </w:rPr>
        <w:t>práva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vyhradené,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strana</w:t>
      </w:r>
      <w:r>
        <w:rPr>
          <w:spacing w:val="-7"/>
          <w:sz w:val="20"/>
        </w:rPr>
        <w:t> </w:t>
      </w:r>
      <w:r>
        <w:rPr>
          <w:sz w:val="20"/>
        </w:rPr>
        <w:t>…,</w:t>
      </w:r>
      <w:r>
        <w:rPr>
          <w:spacing w:val="-4"/>
          <w:sz w:val="20"/>
        </w:rPr>
        <w:t> </w:t>
      </w:r>
      <w:r>
        <w:rPr>
          <w:sz w:val="20"/>
        </w:rPr>
        <w:t>[predmetný</w:t>
      </w:r>
      <w:r>
        <w:rPr>
          <w:spacing w:val="-4"/>
          <w:sz w:val="20"/>
        </w:rPr>
        <w:t> </w:t>
      </w:r>
      <w:r>
        <w:rPr>
          <w:sz w:val="20"/>
        </w:rPr>
        <w:t>prvok],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zdroj:</w:t>
      </w:r>
      <w:r>
        <w:rPr>
          <w:i/>
          <w:spacing w:val="-3"/>
          <w:sz w:val="20"/>
        </w:rPr>
        <w:t> </w:t>
      </w:r>
      <w:r>
        <w:rPr>
          <w:sz w:val="20"/>
        </w:rPr>
        <w:t>napr.</w:t>
      </w:r>
      <w:r>
        <w:rPr>
          <w:spacing w:val="-4"/>
          <w:sz w:val="20"/>
        </w:rPr>
        <w:t> </w:t>
      </w:r>
      <w:r>
        <w:rPr>
          <w:sz w:val="20"/>
        </w:rPr>
        <w:t>Flickr],</w:t>
      </w:r>
      <w:r>
        <w:rPr>
          <w:spacing w:val="-5"/>
          <w:sz w:val="20"/>
        </w:rPr>
        <w:t> </w:t>
      </w:r>
      <w:r>
        <w:rPr>
          <w:sz w:val="20"/>
        </w:rPr>
        <w:t>[autor],</w:t>
      </w:r>
      <w:r>
        <w:rPr>
          <w:spacing w:val="-4"/>
          <w:sz w:val="20"/>
        </w:rPr>
        <w:t> </w:t>
      </w:r>
      <w:r>
        <w:rPr>
          <w:sz w:val="20"/>
        </w:rPr>
        <w:t>licencia</w:t>
      </w:r>
      <w:r>
        <w:rPr>
          <w:spacing w:val="-4"/>
          <w:sz w:val="20"/>
        </w:rPr>
        <w:t> </w:t>
      </w:r>
      <w:r>
        <w:rPr>
          <w:sz w:val="20"/>
        </w:rPr>
        <w:t>v</w:t>
      </w:r>
      <w:r>
        <w:rPr>
          <w:spacing w:val="-4"/>
          <w:sz w:val="20"/>
        </w:rPr>
        <w:t> </w:t>
      </w:r>
      <w:r>
        <w:rPr>
          <w:sz w:val="20"/>
        </w:rPr>
        <w:t>zmysle</w:t>
      </w:r>
      <w:r>
        <w:rPr>
          <w:spacing w:val="-5"/>
          <w:sz w:val="20"/>
        </w:rPr>
        <w:t> </w:t>
      </w:r>
      <w:r>
        <w:rPr>
          <w:sz w:val="20"/>
        </w:rPr>
        <w:t>CC</w:t>
      </w:r>
      <w:r>
        <w:rPr>
          <w:spacing w:val="-4"/>
          <w:sz w:val="20"/>
        </w:rPr>
        <w:t> </w:t>
      </w:r>
      <w:r>
        <w:rPr>
          <w:sz w:val="20"/>
        </w:rPr>
        <w:t>BY</w:t>
      </w:r>
      <w:r>
        <w:rPr>
          <w:spacing w:val="-4"/>
          <w:sz w:val="20"/>
        </w:rPr>
        <w:t> </w:t>
      </w:r>
      <w:r>
        <w:rPr>
          <w:sz w:val="20"/>
        </w:rPr>
        <w:t>2.0</w:t>
      </w:r>
      <w:r>
        <w:rPr>
          <w:spacing w:val="-5"/>
          <w:sz w:val="20"/>
        </w:rPr>
        <w:t> </w:t>
      </w:r>
      <w:r>
        <w:rPr>
          <w:sz w:val="20"/>
        </w:rPr>
        <w:t>[+</w:t>
      </w:r>
      <w:r>
        <w:rPr>
          <w:spacing w:val="-4"/>
          <w:sz w:val="20"/>
        </w:rPr>
        <w:t> </w:t>
      </w:r>
      <w:r>
        <w:rPr>
          <w:sz w:val="20"/>
        </w:rPr>
        <w:t>odkaz</w:t>
      </w:r>
      <w:r>
        <w:rPr>
          <w:spacing w:val="-4"/>
          <w:sz w:val="20"/>
        </w:rPr>
        <w:t> </w:t>
      </w:r>
      <w:r>
        <w:rPr>
          <w:sz w:val="20"/>
        </w:rPr>
        <w:t>na</w:t>
      </w:r>
      <w:r>
        <w:rPr>
          <w:spacing w:val="-4"/>
          <w:sz w:val="20"/>
        </w:rPr>
        <w:t> </w:t>
      </w:r>
      <w:r>
        <w:rPr>
          <w:spacing w:val="-2"/>
          <w:sz w:val="20"/>
        </w:rPr>
        <w:t>licenciu],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[ilustrácia/fotografia/atď.],</w:t>
      </w:r>
      <w:r>
        <w:rPr>
          <w:spacing w:val="-7"/>
          <w:sz w:val="20"/>
        </w:rPr>
        <w:t> </w:t>
      </w:r>
      <w:r>
        <w:rPr>
          <w:sz w:val="20"/>
        </w:rPr>
        <w:t>s.</w:t>
      </w:r>
      <w:r>
        <w:rPr>
          <w:spacing w:val="-7"/>
          <w:sz w:val="20"/>
        </w:rPr>
        <w:t> </w:t>
      </w:r>
      <w:r>
        <w:rPr>
          <w:sz w:val="20"/>
        </w:rPr>
        <w:t>…,</w:t>
      </w:r>
      <w:r>
        <w:rPr>
          <w:spacing w:val="-6"/>
          <w:sz w:val="20"/>
        </w:rPr>
        <w:t> </w:t>
      </w:r>
      <w:r>
        <w:rPr>
          <w:sz w:val="20"/>
        </w:rPr>
        <w:t>©</w:t>
      </w:r>
      <w:r>
        <w:rPr>
          <w:spacing w:val="-7"/>
          <w:sz w:val="20"/>
        </w:rPr>
        <w:t> </w:t>
      </w:r>
      <w:r>
        <w:rPr>
          <w:sz w:val="20"/>
        </w:rPr>
        <w:t>[meno</w:t>
      </w:r>
      <w:r>
        <w:rPr>
          <w:spacing w:val="-6"/>
          <w:sz w:val="20"/>
        </w:rPr>
        <w:t> </w:t>
      </w:r>
      <w:r>
        <w:rPr>
          <w:sz w:val="20"/>
        </w:rPr>
        <w:t>umelca],</w:t>
      </w:r>
      <w:r>
        <w:rPr>
          <w:spacing w:val="-7"/>
          <w:sz w:val="20"/>
        </w:rPr>
        <w:t> </w:t>
      </w:r>
      <w:r>
        <w:rPr>
          <w:sz w:val="20"/>
        </w:rPr>
        <w:t>[rok],</w:t>
      </w:r>
      <w:r>
        <w:rPr>
          <w:spacing w:val="-6"/>
          <w:sz w:val="20"/>
        </w:rPr>
        <w:t> </w:t>
      </w:r>
      <w:r>
        <w:rPr>
          <w:sz w:val="20"/>
        </w:rPr>
        <w:t>všetky</w:t>
      </w:r>
      <w:r>
        <w:rPr>
          <w:spacing w:val="-7"/>
          <w:sz w:val="20"/>
        </w:rPr>
        <w:t> </w:t>
      </w:r>
      <w:r>
        <w:rPr>
          <w:sz w:val="20"/>
        </w:rPr>
        <w:t>práva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vyhradené.</w:t>
      </w:r>
    </w:p>
    <w:p>
      <w:pPr>
        <w:pStyle w:val="BodyText"/>
        <w:spacing w:before="79"/>
        <w:ind w:left="0"/>
      </w:pPr>
    </w:p>
    <w:p>
      <w:pPr>
        <w:pStyle w:val="BodyText"/>
        <w:spacing w:before="1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44" w:lineRule="auto" w:before="104"/>
      </w:pPr>
      <w:r>
        <w:rPr/>
        <w:t>Akékoľvek</w:t>
      </w:r>
      <w:r>
        <w:rPr>
          <w:spacing w:val="-4"/>
        </w:rPr>
        <w:t> </w:t>
      </w:r>
      <w:r>
        <w:rPr/>
        <w:t>použitie</w:t>
      </w:r>
      <w:r>
        <w:rPr>
          <w:spacing w:val="-4"/>
        </w:rPr>
        <w:t> </w:t>
      </w:r>
      <w:r>
        <w:rPr/>
        <w:t>alebo</w:t>
      </w:r>
      <w:r>
        <w:rPr>
          <w:spacing w:val="-4"/>
        </w:rPr>
        <w:t> </w:t>
      </w:r>
      <w:r>
        <w:rPr/>
        <w:t>reprodukcia</w:t>
      </w:r>
      <w:r>
        <w:rPr>
          <w:spacing w:val="-4"/>
        </w:rPr>
        <w:t> </w:t>
      </w:r>
      <w:r>
        <w:rPr/>
        <w:t>prvkov,</w:t>
      </w:r>
      <w:r>
        <w:rPr>
          <w:spacing w:val="-4"/>
        </w:rPr>
        <w:t> </w:t>
      </w:r>
      <w:r>
        <w:rPr/>
        <w:t>ktoré</w:t>
      </w:r>
      <w:r>
        <w:rPr>
          <w:spacing w:val="-4"/>
        </w:rPr>
        <w:t> </w:t>
      </w:r>
      <w:r>
        <w:rPr/>
        <w:t>nie</w:t>
      </w:r>
      <w:r>
        <w:rPr>
          <w:spacing w:val="-4"/>
        </w:rPr>
        <w:t> </w:t>
      </w:r>
      <w:r>
        <w:rPr/>
        <w:t>sú</w:t>
      </w:r>
      <w:r>
        <w:rPr>
          <w:spacing w:val="-4"/>
        </w:rPr>
        <w:t> </w:t>
      </w:r>
      <w:r>
        <w:rPr/>
        <w:t>vo</w:t>
      </w:r>
      <w:r>
        <w:rPr>
          <w:spacing w:val="-4"/>
        </w:rPr>
        <w:t> </w:t>
      </w:r>
      <w:r>
        <w:rPr/>
        <w:t>vlastníctve</w:t>
      </w:r>
      <w:r>
        <w:rPr>
          <w:spacing w:val="-4"/>
        </w:rPr>
        <w:t> </w:t>
      </w:r>
      <w:r>
        <w:rPr/>
        <w:t>Európskej</w:t>
      </w:r>
      <w:r>
        <w:rPr>
          <w:spacing w:val="-4"/>
        </w:rPr>
        <w:t> </w:t>
      </w:r>
      <w:r>
        <w:rPr/>
        <w:t>únie,</w:t>
      </w:r>
      <w:r>
        <w:rPr>
          <w:spacing w:val="-4"/>
        </w:rPr>
        <w:t> </w:t>
      </w:r>
      <w:r>
        <w:rPr/>
        <w:t>môžu</w:t>
      </w:r>
      <w:r>
        <w:rPr>
          <w:spacing w:val="-4"/>
        </w:rPr>
        <w:t> </w:t>
      </w:r>
      <w:r>
        <w:rPr/>
        <w:t>byť</w:t>
      </w:r>
      <w:r>
        <w:rPr>
          <w:spacing w:val="-4"/>
        </w:rPr>
        <w:t> </w:t>
      </w:r>
      <w:r>
        <w:rPr/>
        <w:t>podmienené získaním súhlasu príslušných nositeľov práv.</w:t>
      </w:r>
    </w:p>
    <w:p>
      <w:pPr>
        <w:pStyle w:val="BodyText"/>
        <w:spacing w:before="127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34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246972</wp:posOffset>
                </wp:positionV>
                <wp:extent cx="1864995" cy="3810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27"/>
                              </a:moveTo>
                              <a:lnTo>
                                <a:pt x="0" y="3327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2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9.446671pt;width:146.809998pt;height:.262pt;mso-position-horizontal-relative:page;mso-position-vertical-relative:paragraph;z-index:-15728128;mso-wrap-distance-left:0;mso-wrap-distance-right:0" id="docshape9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198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94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71" w:lineRule="auto" w:before="60"/>
        <w:ind w:left="745" w:right="242" w:firstLine="0"/>
        <w:jc w:val="left"/>
        <w:rPr>
          <w:sz w:val="18"/>
        </w:rPr>
      </w:pPr>
      <w:r>
        <w:rPr>
          <w:sz w:val="18"/>
        </w:rPr>
        <w:t>Opakované</w:t>
      </w:r>
      <w:r>
        <w:rPr>
          <w:spacing w:val="-3"/>
          <w:sz w:val="18"/>
        </w:rPr>
        <w:t> </w:t>
      </w:r>
      <w:r>
        <w:rPr>
          <w:sz w:val="18"/>
        </w:rPr>
        <w:t>použitie</w:t>
      </w:r>
      <w:r>
        <w:rPr>
          <w:spacing w:val="-3"/>
          <w:sz w:val="18"/>
        </w:rPr>
        <w:t> </w:t>
      </w:r>
      <w:r>
        <w:rPr>
          <w:sz w:val="18"/>
        </w:rPr>
        <w:t>je</w:t>
      </w:r>
      <w:r>
        <w:rPr>
          <w:spacing w:val="-3"/>
          <w:sz w:val="18"/>
        </w:rPr>
        <w:t> </w:t>
      </w:r>
      <w:r>
        <w:rPr>
          <w:sz w:val="18"/>
        </w:rPr>
        <w:t>povolené</w:t>
      </w:r>
      <w:r>
        <w:rPr>
          <w:spacing w:val="-3"/>
          <w:sz w:val="18"/>
        </w:rPr>
        <w:t> </w:t>
      </w:r>
      <w:r>
        <w:rPr>
          <w:sz w:val="18"/>
        </w:rPr>
        <w:t>len</w:t>
      </w:r>
      <w:r>
        <w:rPr>
          <w:spacing w:val="-3"/>
          <w:sz w:val="18"/>
        </w:rPr>
        <w:t> </w:t>
      </w:r>
      <w:r>
        <w:rPr>
          <w:sz w:val="18"/>
        </w:rPr>
        <w:t>s</w:t>
      </w:r>
      <w:r>
        <w:rPr>
          <w:spacing w:val="-3"/>
          <w:sz w:val="18"/>
        </w:rPr>
        <w:t> </w:t>
      </w:r>
      <w:r>
        <w:rPr>
          <w:sz w:val="18"/>
        </w:rPr>
        <w:t>uvedením</w:t>
      </w:r>
      <w:r>
        <w:rPr>
          <w:spacing w:val="-3"/>
          <w:sz w:val="18"/>
        </w:rPr>
        <w:t> </w:t>
      </w:r>
      <w:r>
        <w:rPr>
          <w:sz w:val="18"/>
        </w:rPr>
        <w:t>zdroja</w:t>
      </w:r>
      <w:r>
        <w:rPr>
          <w:spacing w:val="-3"/>
          <w:sz w:val="18"/>
        </w:rPr>
        <w:t> </w:t>
      </w:r>
      <w:r>
        <w:rPr>
          <w:sz w:val="18"/>
        </w:rPr>
        <w:t>a</w:t>
      </w:r>
      <w:r>
        <w:rPr>
          <w:spacing w:val="-3"/>
          <w:sz w:val="18"/>
        </w:rPr>
        <w:t> </w:t>
      </w:r>
      <w:r>
        <w:rPr>
          <w:sz w:val="18"/>
        </w:rPr>
        <w:t>nie</w:t>
      </w:r>
      <w:r>
        <w:rPr>
          <w:spacing w:val="-3"/>
          <w:sz w:val="18"/>
        </w:rPr>
        <w:t> </w:t>
      </w:r>
      <w:r>
        <w:rPr>
          <w:sz w:val="18"/>
        </w:rPr>
        <w:t>je</w:t>
      </w:r>
      <w:r>
        <w:rPr>
          <w:spacing w:val="-3"/>
          <w:sz w:val="18"/>
        </w:rPr>
        <w:t> </w:t>
      </w:r>
      <w:r>
        <w:rPr>
          <w:sz w:val="18"/>
        </w:rPr>
        <w:t>povolené</w:t>
      </w:r>
      <w:r>
        <w:rPr>
          <w:spacing w:val="-3"/>
          <w:sz w:val="18"/>
        </w:rPr>
        <w:t> </w:t>
      </w:r>
      <w:r>
        <w:rPr>
          <w:sz w:val="18"/>
        </w:rPr>
        <w:t>skresliť</w:t>
      </w:r>
      <w:r>
        <w:rPr>
          <w:spacing w:val="-3"/>
          <w:sz w:val="18"/>
        </w:rPr>
        <w:t> </w:t>
      </w:r>
      <w:r>
        <w:rPr>
          <w:sz w:val="18"/>
        </w:rPr>
        <w:t>pôvodný</w:t>
      </w:r>
      <w:r>
        <w:rPr>
          <w:spacing w:val="-3"/>
          <w:sz w:val="18"/>
        </w:rPr>
        <w:t> </w:t>
      </w:r>
      <w:r>
        <w:rPr>
          <w:sz w:val="18"/>
        </w:rPr>
        <w:t>význam</w:t>
      </w:r>
      <w:r>
        <w:rPr>
          <w:spacing w:val="-3"/>
          <w:sz w:val="18"/>
        </w:rPr>
        <w:t> </w:t>
      </w:r>
      <w:r>
        <w:rPr>
          <w:sz w:val="18"/>
        </w:rPr>
        <w:t>alebo</w:t>
      </w:r>
      <w:r>
        <w:rPr>
          <w:spacing w:val="-3"/>
          <w:sz w:val="18"/>
        </w:rPr>
        <w:t> </w:t>
      </w:r>
      <w:r>
        <w:rPr>
          <w:sz w:val="18"/>
        </w:rPr>
        <w:t>posolstvo tohto dokumentu. Európska komisia nezodpovedá za žiadne následky opakovaného použitia tejto publikácie.</w:t>
      </w:r>
    </w:p>
    <w:p>
      <w:pPr>
        <w:spacing w:line="271" w:lineRule="auto" w:before="1"/>
        <w:ind w:left="745" w:right="242" w:firstLine="0"/>
        <w:jc w:val="left"/>
        <w:rPr>
          <w:sz w:val="18"/>
        </w:rPr>
      </w:pPr>
      <w:r>
        <w:rPr>
          <w:sz w:val="18"/>
        </w:rPr>
        <w:t>Politika</w:t>
      </w:r>
      <w:r>
        <w:rPr>
          <w:spacing w:val="-5"/>
          <w:sz w:val="18"/>
        </w:rPr>
        <w:t> </w:t>
      </w:r>
      <w:r>
        <w:rPr>
          <w:sz w:val="18"/>
        </w:rPr>
        <w:t>v</w:t>
      </w:r>
      <w:r>
        <w:rPr>
          <w:spacing w:val="-5"/>
          <w:sz w:val="18"/>
        </w:rPr>
        <w:t> </w:t>
      </w:r>
      <w:r>
        <w:rPr>
          <w:sz w:val="18"/>
        </w:rPr>
        <w:t>oblasti</w:t>
      </w:r>
      <w:r>
        <w:rPr>
          <w:spacing w:val="-5"/>
          <w:sz w:val="18"/>
        </w:rPr>
        <w:t> </w:t>
      </w:r>
      <w:r>
        <w:rPr>
          <w:sz w:val="18"/>
        </w:rPr>
        <w:t>opakovaného</w:t>
      </w:r>
      <w:r>
        <w:rPr>
          <w:spacing w:val="-5"/>
          <w:sz w:val="18"/>
        </w:rPr>
        <w:t> </w:t>
      </w:r>
      <w:r>
        <w:rPr>
          <w:sz w:val="18"/>
        </w:rPr>
        <w:t>použitia</w:t>
      </w:r>
      <w:r>
        <w:rPr>
          <w:spacing w:val="-5"/>
          <w:sz w:val="18"/>
        </w:rPr>
        <w:t> </w:t>
      </w:r>
      <w:r>
        <w:rPr>
          <w:sz w:val="18"/>
        </w:rPr>
        <w:t>dokumentov</w:t>
      </w:r>
      <w:r>
        <w:rPr>
          <w:spacing w:val="-5"/>
          <w:sz w:val="18"/>
        </w:rPr>
        <w:t> </w:t>
      </w:r>
      <w:r>
        <w:rPr>
          <w:sz w:val="18"/>
        </w:rPr>
        <w:t>Európskej</w:t>
      </w:r>
      <w:r>
        <w:rPr>
          <w:spacing w:val="-5"/>
          <w:sz w:val="18"/>
        </w:rPr>
        <w:t> </w:t>
      </w:r>
      <w:r>
        <w:rPr>
          <w:sz w:val="18"/>
        </w:rPr>
        <w:t>komisie</w:t>
      </w:r>
      <w:r>
        <w:rPr>
          <w:spacing w:val="-5"/>
          <w:sz w:val="18"/>
        </w:rPr>
        <w:t> </w:t>
      </w:r>
      <w:r>
        <w:rPr>
          <w:sz w:val="18"/>
        </w:rPr>
        <w:t>sa</w:t>
      </w:r>
      <w:r>
        <w:rPr>
          <w:spacing w:val="-5"/>
          <w:sz w:val="18"/>
        </w:rPr>
        <w:t> </w:t>
      </w:r>
      <w:r>
        <w:rPr>
          <w:sz w:val="18"/>
        </w:rPr>
        <w:t>vykonáva</w:t>
      </w:r>
      <w:r>
        <w:rPr>
          <w:spacing w:val="-5"/>
          <w:sz w:val="18"/>
        </w:rPr>
        <w:t> </w:t>
      </w:r>
      <w:r>
        <w:rPr>
          <w:sz w:val="18"/>
        </w:rPr>
        <w:t>rozhodnutím</w:t>
      </w:r>
      <w:r>
        <w:rPr>
          <w:spacing w:val="-5"/>
          <w:sz w:val="18"/>
        </w:rPr>
        <w:t> </w:t>
      </w:r>
      <w:r>
        <w:rPr>
          <w:sz w:val="18"/>
        </w:rPr>
        <w:t>Komisie</w:t>
      </w:r>
      <w:r>
        <w:rPr>
          <w:spacing w:val="-5"/>
          <w:sz w:val="18"/>
        </w:rPr>
        <w:t> </w:t>
      </w:r>
      <w:r>
        <w:rPr>
          <w:sz w:val="18"/>
        </w:rPr>
        <w:t>2011/833/ EÚ z 12. decembra 2011 o opakovanom použití dokumentov Komisie (Ú. v. EÚ L 330, 14.12.2011, s. 39, ELI: </w:t>
      </w:r>
      <w:hyperlink r:id="rId6">
        <w:r>
          <w:rPr>
            <w:color w:val="0000FF"/>
            <w:spacing w:val="-2"/>
            <w:sz w:val="18"/>
            <w:u w:val="single" w:color="0000FF"/>
          </w:rPr>
          <w:t>http://data.europa.eu/eli/dec/2011/833/o</w:t>
        </w:r>
        <w:r>
          <w:rPr>
            <w:color w:val="0000FF"/>
            <w:spacing w:val="-2"/>
            <w:sz w:val="18"/>
            <w:u w:val="none"/>
          </w:rPr>
          <w:t>j</w:t>
        </w:r>
      </w:hyperlink>
      <w:r>
        <w:rPr>
          <w:spacing w:val="-2"/>
          <w:sz w:val="18"/>
          <w:u w:val="none"/>
        </w:rPr>
        <w:t>).</w:t>
      </w:r>
    </w:p>
    <w:p>
      <w:pPr>
        <w:spacing w:after="0" w:line="271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850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850"/>
        </w:sectPr>
      </w:pPr>
    </w:p>
    <w:p>
      <w:pPr>
        <w:pStyle w:val="Heading1"/>
        <w:spacing w:before="80"/>
      </w:pPr>
      <w:r>
        <w:rPr/>
        <w:t>Obráťte</w:t>
      </w:r>
      <w:r>
        <w:rPr>
          <w:spacing w:val="-4"/>
        </w:rPr>
        <w:t> </w:t>
      </w:r>
      <w:r>
        <w:rPr/>
        <w:t>sa</w:t>
      </w:r>
      <w:r>
        <w:rPr>
          <w:spacing w:val="-4"/>
        </w:rPr>
        <w:t> </w:t>
      </w:r>
      <w:r>
        <w:rPr/>
        <w:t>na</w:t>
      </w:r>
      <w:r>
        <w:rPr>
          <w:spacing w:val="-3"/>
        </w:rPr>
        <w:t> </w:t>
      </w:r>
      <w:r>
        <w:rPr>
          <w:spacing w:val="-5"/>
        </w:rPr>
        <w:t>EÚ</w:t>
      </w:r>
    </w:p>
    <w:p>
      <w:pPr>
        <w:pStyle w:val="Heading2"/>
        <w:spacing w:before="154"/>
      </w:pPr>
      <w:r>
        <w:rPr>
          <w:spacing w:val="-2"/>
        </w:rPr>
        <w:t>Osobne</w:t>
      </w:r>
    </w:p>
    <w:p>
      <w:pPr>
        <w:spacing w:line="280" w:lineRule="auto" w:before="167"/>
        <w:ind w:left="85" w:right="242" w:firstLine="0"/>
        <w:jc w:val="left"/>
        <w:rPr>
          <w:sz w:val="22"/>
        </w:rPr>
      </w:pPr>
      <w:r>
        <w:rPr>
          <w:sz w:val="22"/>
        </w:rPr>
        <w:t>V</w:t>
      </w:r>
      <w:r>
        <w:rPr>
          <w:spacing w:val="-3"/>
          <w:sz w:val="22"/>
        </w:rPr>
        <w:t> </w:t>
      </w:r>
      <w:r>
        <w:rPr>
          <w:sz w:val="22"/>
        </w:rPr>
        <w:t>rámci</w:t>
      </w:r>
      <w:r>
        <w:rPr>
          <w:spacing w:val="-3"/>
          <w:sz w:val="22"/>
        </w:rPr>
        <w:t> </w:t>
      </w:r>
      <w:r>
        <w:rPr>
          <w:sz w:val="22"/>
        </w:rPr>
        <w:t>celej</w:t>
      </w:r>
      <w:r>
        <w:rPr>
          <w:spacing w:val="-3"/>
          <w:sz w:val="22"/>
        </w:rPr>
        <w:t> </w:t>
      </w:r>
      <w:r>
        <w:rPr>
          <w:sz w:val="22"/>
        </w:rPr>
        <w:t>EÚ</w:t>
      </w:r>
      <w:r>
        <w:rPr>
          <w:spacing w:val="-3"/>
          <w:sz w:val="22"/>
        </w:rPr>
        <w:t> </w:t>
      </w:r>
      <w:r>
        <w:rPr>
          <w:sz w:val="22"/>
        </w:rPr>
        <w:t>existujú</w:t>
      </w:r>
      <w:r>
        <w:rPr>
          <w:spacing w:val="-3"/>
          <w:sz w:val="22"/>
        </w:rPr>
        <w:t> </w:t>
      </w:r>
      <w:r>
        <w:rPr>
          <w:sz w:val="22"/>
        </w:rPr>
        <w:t>stovky</w:t>
      </w:r>
      <w:r>
        <w:rPr>
          <w:spacing w:val="-3"/>
          <w:sz w:val="22"/>
        </w:rPr>
        <w:t> </w:t>
      </w:r>
      <w:r>
        <w:rPr>
          <w:sz w:val="22"/>
        </w:rPr>
        <w:t>centier</w:t>
      </w:r>
      <w:r>
        <w:rPr>
          <w:spacing w:val="-3"/>
          <w:sz w:val="22"/>
        </w:rPr>
        <w:t> </w:t>
      </w:r>
      <w:r>
        <w:rPr>
          <w:sz w:val="22"/>
        </w:rPr>
        <w:t>Europe</w:t>
      </w:r>
      <w:r>
        <w:rPr>
          <w:spacing w:val="-3"/>
          <w:sz w:val="22"/>
        </w:rPr>
        <w:t> </w:t>
      </w:r>
      <w:r>
        <w:rPr>
          <w:sz w:val="22"/>
        </w:rPr>
        <w:t>Direct.</w:t>
      </w:r>
      <w:r>
        <w:rPr>
          <w:spacing w:val="-3"/>
          <w:sz w:val="22"/>
        </w:rPr>
        <w:t> </w:t>
      </w:r>
      <w:r>
        <w:rPr>
          <w:sz w:val="22"/>
        </w:rPr>
        <w:t>Adresu</w:t>
      </w:r>
      <w:r>
        <w:rPr>
          <w:spacing w:val="-3"/>
          <w:sz w:val="22"/>
        </w:rPr>
        <w:t> </w:t>
      </w:r>
      <w:r>
        <w:rPr>
          <w:sz w:val="22"/>
        </w:rPr>
        <w:t>centra</w:t>
      </w:r>
      <w:r>
        <w:rPr>
          <w:spacing w:val="-3"/>
          <w:sz w:val="22"/>
        </w:rPr>
        <w:t> </w:t>
      </w:r>
      <w:r>
        <w:rPr>
          <w:sz w:val="22"/>
        </w:rPr>
        <w:t>najbližšieho</w:t>
      </w:r>
      <w:r>
        <w:rPr>
          <w:spacing w:val="-3"/>
          <w:sz w:val="22"/>
        </w:rPr>
        <w:t> </w:t>
      </w:r>
      <w:r>
        <w:rPr>
          <w:sz w:val="22"/>
        </w:rPr>
        <w:t>k</w:t>
      </w:r>
      <w:r>
        <w:rPr>
          <w:spacing w:val="-3"/>
          <w:sz w:val="22"/>
        </w:rPr>
        <w:t> </w:t>
      </w:r>
      <w:r>
        <w:rPr>
          <w:sz w:val="22"/>
        </w:rPr>
        <w:t>vám</w:t>
      </w:r>
      <w:r>
        <w:rPr>
          <w:spacing w:val="-3"/>
          <w:sz w:val="22"/>
        </w:rPr>
        <w:t> </w:t>
      </w:r>
      <w:r>
        <w:rPr>
          <w:sz w:val="22"/>
        </w:rPr>
        <w:t>nájdete</w:t>
      </w:r>
      <w:r>
        <w:rPr>
          <w:spacing w:val="-3"/>
          <w:sz w:val="22"/>
        </w:rPr>
        <w:t> </w:t>
      </w:r>
      <w:r>
        <w:rPr>
          <w:sz w:val="22"/>
        </w:rPr>
        <w:t>online </w:t>
      </w:r>
      <w:r>
        <w:rPr>
          <w:spacing w:val="-2"/>
          <w:sz w:val="22"/>
        </w:rPr>
        <w:t>(</w:t>
      </w:r>
      <w:hyperlink r:id="rId10">
        <w:r>
          <w:rPr>
            <w:color w:val="0000FF"/>
            <w:spacing w:val="-2"/>
            <w:sz w:val="22"/>
            <w:u w:val="single" w:color="0000FF"/>
          </w:rPr>
          <w:t>europa.eu/european-union/contact</w:t>
        </w:r>
      </w:hyperlink>
      <w:hyperlink r:id="rId10">
        <w:r>
          <w:rPr>
            <w:rFonts w:ascii="Palatino Linotype" w:hAnsi="Palatino Linotype"/>
            <w:color w:val="0000FF"/>
            <w:spacing w:val="-2"/>
            <w:sz w:val="22"/>
            <w:u w:val="single" w:color="0000FF"/>
          </w:rPr>
          <w:t>‑</w:t>
        </w:r>
      </w:hyperlink>
      <w:hyperlink r:id="rId10">
        <w:r>
          <w:rPr>
            <w:color w:val="0000FF"/>
            <w:spacing w:val="-2"/>
            <w:sz w:val="22"/>
            <w:u w:val="single" w:color="0000FF"/>
          </w:rPr>
          <w:t>eu/meet-us_sk</w:t>
        </w:r>
      </w:hyperlink>
      <w:r>
        <w:rPr>
          <w:spacing w:val="-2"/>
          <w:sz w:val="22"/>
          <w:u w:val="none"/>
        </w:rPr>
        <w:t>).</w:t>
      </w:r>
    </w:p>
    <w:p>
      <w:pPr>
        <w:pStyle w:val="Heading2"/>
      </w:pPr>
      <w:r>
        <w:rPr>
          <w:spacing w:val="-2"/>
        </w:rPr>
        <w:t>Telefonicky</w:t>
      </w:r>
      <w:r>
        <w:rPr/>
        <w:t> </w:t>
      </w:r>
      <w:r>
        <w:rPr>
          <w:spacing w:val="-2"/>
        </w:rPr>
        <w:t>alebo</w:t>
      </w:r>
      <w:r>
        <w:rPr>
          <w:spacing w:val="1"/>
        </w:rPr>
        <w:t> </w:t>
      </w:r>
      <w:r>
        <w:rPr>
          <w:spacing w:val="-2"/>
        </w:rPr>
        <w:t>písomne</w:t>
      </w:r>
    </w:p>
    <w:p>
      <w:pPr>
        <w:spacing w:line="290" w:lineRule="auto" w:before="167"/>
        <w:ind w:left="85" w:right="242" w:firstLine="0"/>
        <w:jc w:val="left"/>
        <w:rPr>
          <w:sz w:val="22"/>
        </w:rPr>
      </w:pPr>
      <w:r>
        <w:rPr>
          <w:sz w:val="22"/>
        </w:rPr>
        <w:t>Europe</w:t>
      </w:r>
      <w:r>
        <w:rPr>
          <w:spacing w:val="-4"/>
          <w:sz w:val="22"/>
        </w:rPr>
        <w:t> </w:t>
      </w:r>
      <w:r>
        <w:rPr>
          <w:sz w:val="22"/>
        </w:rPr>
        <w:t>Direct</w:t>
      </w:r>
      <w:r>
        <w:rPr>
          <w:spacing w:val="-4"/>
          <w:sz w:val="22"/>
        </w:rPr>
        <w:t> </w:t>
      </w:r>
      <w:r>
        <w:rPr>
          <w:sz w:val="22"/>
        </w:rPr>
        <w:t>je</w:t>
      </w:r>
      <w:r>
        <w:rPr>
          <w:spacing w:val="-4"/>
          <w:sz w:val="22"/>
        </w:rPr>
        <w:t> </w:t>
      </w:r>
      <w:r>
        <w:rPr>
          <w:sz w:val="22"/>
        </w:rPr>
        <w:t>služba,</w:t>
      </w:r>
      <w:r>
        <w:rPr>
          <w:spacing w:val="-4"/>
          <w:sz w:val="22"/>
        </w:rPr>
        <w:t> </w:t>
      </w:r>
      <w:r>
        <w:rPr>
          <w:sz w:val="22"/>
        </w:rPr>
        <w:t>ktorá</w:t>
      </w:r>
      <w:r>
        <w:rPr>
          <w:spacing w:val="-4"/>
          <w:sz w:val="22"/>
        </w:rPr>
        <w:t> </w:t>
      </w:r>
      <w:r>
        <w:rPr>
          <w:sz w:val="22"/>
        </w:rPr>
        <w:t>odpovedá</w:t>
      </w:r>
      <w:r>
        <w:rPr>
          <w:spacing w:val="-4"/>
          <w:sz w:val="22"/>
        </w:rPr>
        <w:t> </w:t>
      </w:r>
      <w:r>
        <w:rPr>
          <w:sz w:val="22"/>
        </w:rPr>
        <w:t>na</w:t>
      </w:r>
      <w:r>
        <w:rPr>
          <w:spacing w:val="-4"/>
          <w:sz w:val="22"/>
        </w:rPr>
        <w:t> </w:t>
      </w:r>
      <w:r>
        <w:rPr>
          <w:sz w:val="22"/>
        </w:rPr>
        <w:t>vaše</w:t>
      </w:r>
      <w:r>
        <w:rPr>
          <w:spacing w:val="-4"/>
          <w:sz w:val="22"/>
        </w:rPr>
        <w:t> </w:t>
      </w:r>
      <w:r>
        <w:rPr>
          <w:sz w:val="22"/>
        </w:rPr>
        <w:t>otázky</w:t>
      </w:r>
      <w:r>
        <w:rPr>
          <w:spacing w:val="-4"/>
          <w:sz w:val="22"/>
        </w:rPr>
        <w:t> </w:t>
      </w:r>
      <w:r>
        <w:rPr>
          <w:sz w:val="22"/>
        </w:rPr>
        <w:t>o</w:t>
      </w:r>
      <w:r>
        <w:rPr>
          <w:spacing w:val="-4"/>
          <w:sz w:val="22"/>
        </w:rPr>
        <w:t> </w:t>
      </w:r>
      <w:r>
        <w:rPr>
          <w:sz w:val="22"/>
        </w:rPr>
        <w:t>Európskej</w:t>
      </w:r>
      <w:r>
        <w:rPr>
          <w:spacing w:val="-4"/>
          <w:sz w:val="22"/>
        </w:rPr>
        <w:t> </w:t>
      </w:r>
      <w:r>
        <w:rPr>
          <w:sz w:val="22"/>
        </w:rPr>
        <w:t>únii.</w:t>
      </w:r>
      <w:r>
        <w:rPr>
          <w:spacing w:val="-4"/>
          <w:sz w:val="22"/>
        </w:rPr>
        <w:t> </w:t>
      </w:r>
      <w:r>
        <w:rPr>
          <w:sz w:val="22"/>
        </w:rPr>
        <w:t>Túto</w:t>
      </w:r>
      <w:r>
        <w:rPr>
          <w:spacing w:val="-4"/>
          <w:sz w:val="22"/>
        </w:rPr>
        <w:t> </w:t>
      </w:r>
      <w:r>
        <w:rPr>
          <w:sz w:val="22"/>
        </w:rPr>
        <w:t>službu</w:t>
      </w:r>
      <w:r>
        <w:rPr>
          <w:spacing w:val="-4"/>
          <w:sz w:val="22"/>
        </w:rPr>
        <w:t> </w:t>
      </w:r>
      <w:r>
        <w:rPr>
          <w:sz w:val="22"/>
        </w:rPr>
        <w:t>môžete </w:t>
      </w:r>
      <w:r>
        <w:rPr>
          <w:spacing w:val="-2"/>
          <w:sz w:val="22"/>
        </w:rPr>
        <w:t>kontaktovať:</w:t>
      </w:r>
    </w:p>
    <w:p>
      <w:pPr>
        <w:pStyle w:val="ListParagraph"/>
        <w:numPr>
          <w:ilvl w:val="0"/>
          <w:numId w:val="3"/>
        </w:numPr>
        <w:tabs>
          <w:tab w:pos="475" w:val="left" w:leader="none"/>
        </w:tabs>
        <w:spacing w:line="290" w:lineRule="auto" w:before="113" w:after="0"/>
        <w:ind w:left="475" w:right="332" w:hanging="400"/>
        <w:jc w:val="left"/>
        <w:rPr>
          <w:sz w:val="22"/>
        </w:rPr>
      </w:pPr>
      <w:r>
        <w:rPr>
          <w:sz w:val="22"/>
        </w:rPr>
        <w:t>prostredníctvom</w:t>
      </w:r>
      <w:r>
        <w:rPr>
          <w:spacing w:val="-4"/>
          <w:sz w:val="22"/>
        </w:rPr>
        <w:t> </w:t>
      </w:r>
      <w:r>
        <w:rPr>
          <w:sz w:val="22"/>
        </w:rPr>
        <w:t>bezplatného</w:t>
      </w:r>
      <w:r>
        <w:rPr>
          <w:spacing w:val="-4"/>
          <w:sz w:val="22"/>
        </w:rPr>
        <w:t> </w:t>
      </w:r>
      <w:r>
        <w:rPr>
          <w:sz w:val="22"/>
        </w:rPr>
        <w:t>telefónneho</w:t>
      </w:r>
      <w:r>
        <w:rPr>
          <w:spacing w:val="-4"/>
          <w:sz w:val="22"/>
        </w:rPr>
        <w:t> </w:t>
      </w:r>
      <w:r>
        <w:rPr>
          <w:sz w:val="22"/>
        </w:rPr>
        <w:t>čísla:</w:t>
      </w:r>
      <w:r>
        <w:rPr>
          <w:spacing w:val="-4"/>
          <w:sz w:val="22"/>
        </w:rPr>
        <w:t> </w:t>
      </w:r>
      <w:r>
        <w:rPr>
          <w:sz w:val="22"/>
        </w:rPr>
        <w:t>00</w:t>
      </w:r>
      <w:r>
        <w:rPr>
          <w:spacing w:val="-4"/>
          <w:sz w:val="22"/>
        </w:rPr>
        <w:t> </w:t>
      </w:r>
      <w:r>
        <w:rPr>
          <w:sz w:val="22"/>
        </w:rPr>
        <w:t>800</w:t>
      </w:r>
      <w:r>
        <w:rPr>
          <w:spacing w:val="-4"/>
          <w:sz w:val="22"/>
        </w:rPr>
        <w:t> </w:t>
      </w:r>
      <w:r>
        <w:rPr>
          <w:sz w:val="22"/>
        </w:rPr>
        <w:t>6</w:t>
      </w:r>
      <w:r>
        <w:rPr>
          <w:spacing w:val="-4"/>
          <w:sz w:val="22"/>
        </w:rPr>
        <w:t> </w:t>
      </w:r>
      <w:r>
        <w:rPr>
          <w:sz w:val="22"/>
        </w:rPr>
        <w:t>7</w:t>
      </w:r>
      <w:r>
        <w:rPr>
          <w:spacing w:val="-4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4"/>
          <w:sz w:val="22"/>
        </w:rPr>
        <w:t> </w:t>
      </w:r>
      <w:r>
        <w:rPr>
          <w:sz w:val="22"/>
        </w:rPr>
        <w:t>10</w:t>
      </w:r>
      <w:r>
        <w:rPr>
          <w:spacing w:val="-4"/>
          <w:sz w:val="22"/>
        </w:rPr>
        <w:t> </w:t>
      </w:r>
      <w:r>
        <w:rPr>
          <w:sz w:val="22"/>
        </w:rPr>
        <w:t>11</w:t>
      </w:r>
      <w:r>
        <w:rPr>
          <w:spacing w:val="-4"/>
          <w:sz w:val="22"/>
        </w:rPr>
        <w:t> </w:t>
      </w:r>
      <w:r>
        <w:rPr>
          <w:sz w:val="22"/>
        </w:rPr>
        <w:t>(niektorí</w:t>
      </w:r>
      <w:r>
        <w:rPr>
          <w:spacing w:val="-4"/>
          <w:sz w:val="22"/>
        </w:rPr>
        <w:t> </w:t>
      </w:r>
      <w:r>
        <w:rPr>
          <w:sz w:val="22"/>
        </w:rPr>
        <w:t>operátori</w:t>
      </w:r>
      <w:r>
        <w:rPr>
          <w:spacing w:val="-4"/>
          <w:sz w:val="22"/>
        </w:rPr>
        <w:t> </w:t>
      </w:r>
      <w:r>
        <w:rPr>
          <w:sz w:val="22"/>
        </w:rPr>
        <w:t>môžu</w:t>
      </w:r>
      <w:r>
        <w:rPr>
          <w:spacing w:val="-4"/>
          <w:sz w:val="22"/>
        </w:rPr>
        <w:t> </w:t>
      </w:r>
      <w:r>
        <w:rPr>
          <w:sz w:val="22"/>
        </w:rPr>
        <w:t>tieto hovory spoplatňovať),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53" w:lineRule="exact" w:before="0" w:after="0"/>
        <w:ind w:left="474" w:right="0" w:hanging="399"/>
        <w:jc w:val="left"/>
        <w:rPr>
          <w:sz w:val="22"/>
        </w:rPr>
      </w:pPr>
      <w:r>
        <w:rPr>
          <w:sz w:val="22"/>
        </w:rPr>
        <w:t>prostredníctvom</w:t>
      </w:r>
      <w:r>
        <w:rPr>
          <w:spacing w:val="-7"/>
          <w:sz w:val="22"/>
        </w:rPr>
        <w:t> </w:t>
      </w:r>
      <w:r>
        <w:rPr>
          <w:sz w:val="22"/>
        </w:rPr>
        <w:t>štandardného</w:t>
      </w:r>
      <w:r>
        <w:rPr>
          <w:spacing w:val="-7"/>
          <w:sz w:val="22"/>
        </w:rPr>
        <w:t> </w:t>
      </w:r>
      <w:r>
        <w:rPr>
          <w:sz w:val="22"/>
        </w:rPr>
        <w:t>telefónneho</w:t>
      </w:r>
      <w:r>
        <w:rPr>
          <w:spacing w:val="-6"/>
          <w:sz w:val="22"/>
        </w:rPr>
        <w:t> </w:t>
      </w:r>
      <w:r>
        <w:rPr>
          <w:sz w:val="22"/>
        </w:rPr>
        <w:t>čísla:</w:t>
      </w:r>
      <w:r>
        <w:rPr>
          <w:spacing w:val="-7"/>
          <w:sz w:val="22"/>
        </w:rPr>
        <w:t> </w:t>
      </w:r>
      <w:r>
        <w:rPr>
          <w:sz w:val="22"/>
        </w:rPr>
        <w:t>+32</w:t>
      </w:r>
      <w:r>
        <w:rPr>
          <w:spacing w:val="-6"/>
          <w:sz w:val="22"/>
        </w:rPr>
        <w:t> </w:t>
      </w:r>
      <w:r>
        <w:rPr>
          <w:spacing w:val="-2"/>
          <w:sz w:val="22"/>
        </w:rPr>
        <w:t>22999696,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42" w:after="0"/>
        <w:ind w:left="474" w:right="0" w:hanging="399"/>
        <w:jc w:val="left"/>
        <w:rPr>
          <w:sz w:val="22"/>
        </w:rPr>
      </w:pPr>
      <w:r>
        <w:rPr>
          <w:sz w:val="22"/>
        </w:rPr>
        <w:t>prostredníctvom</w:t>
      </w:r>
      <w:r>
        <w:rPr>
          <w:spacing w:val="-15"/>
          <w:sz w:val="22"/>
        </w:rPr>
        <w:t> </w:t>
      </w:r>
      <w:r>
        <w:rPr>
          <w:sz w:val="22"/>
        </w:rPr>
        <w:t>formulára</w:t>
      </w:r>
      <w:r>
        <w:rPr>
          <w:spacing w:val="-14"/>
          <w:sz w:val="22"/>
        </w:rPr>
        <w:t> </w:t>
      </w:r>
      <w:r>
        <w:rPr>
          <w:sz w:val="22"/>
        </w:rPr>
        <w:t>na:</w:t>
      </w:r>
      <w:r>
        <w:rPr>
          <w:spacing w:val="-14"/>
          <w:sz w:val="22"/>
        </w:rPr>
        <w:t> </w:t>
      </w:r>
      <w:hyperlink r:id="rId11">
        <w:r>
          <w:rPr>
            <w:color w:val="0000FF"/>
            <w:sz w:val="22"/>
            <w:u w:val="single" w:color="0000FF"/>
          </w:rPr>
          <w:t>europa.eu/european-union/contact</w:t>
        </w:r>
      </w:hyperlink>
      <w:hyperlink r:id="rId11">
        <w:r>
          <w:rPr>
            <w:rFonts w:ascii="Palatino Linotype" w:hAnsi="Palatino Linotype"/>
            <w:color w:val="0000FF"/>
            <w:sz w:val="22"/>
            <w:u w:val="single" w:color="0000FF"/>
          </w:rPr>
          <w:t>‑</w:t>
        </w:r>
      </w:hyperlink>
      <w:hyperlink r:id="rId11">
        <w:r>
          <w:rPr>
            <w:color w:val="0000FF"/>
            <w:sz w:val="22"/>
            <w:u w:val="single" w:color="0000FF"/>
          </w:rPr>
          <w:t>eu/write-</w:t>
        </w:r>
        <w:r>
          <w:rPr>
            <w:color w:val="0000FF"/>
            <w:spacing w:val="-2"/>
            <w:sz w:val="22"/>
            <w:u w:val="single" w:color="0000FF"/>
          </w:rPr>
          <w:t>us_sk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82"/>
        <w:ind w:left="0"/>
        <w:rPr>
          <w:sz w:val="22"/>
        </w:rPr>
      </w:pPr>
    </w:p>
    <w:p>
      <w:pPr>
        <w:pStyle w:val="Heading1"/>
      </w:pPr>
      <w:r>
        <w:rPr/>
        <w:t>Vyhľadávanie</w:t>
      </w:r>
      <w:r>
        <w:rPr>
          <w:spacing w:val="-11"/>
        </w:rPr>
        <w:t> </w:t>
      </w:r>
      <w:r>
        <w:rPr/>
        <w:t>informácií</w:t>
      </w:r>
      <w:r>
        <w:rPr>
          <w:spacing w:val="-10"/>
        </w:rPr>
        <w:t> </w:t>
      </w:r>
      <w:r>
        <w:rPr/>
        <w:t>o</w:t>
      </w:r>
      <w:r>
        <w:rPr>
          <w:spacing w:val="-10"/>
        </w:rPr>
        <w:t> </w:t>
      </w:r>
      <w:r>
        <w:rPr>
          <w:spacing w:val="-5"/>
        </w:rPr>
        <w:t>EÚ</w:t>
      </w:r>
    </w:p>
    <w:p>
      <w:pPr>
        <w:pStyle w:val="Heading2"/>
        <w:spacing w:before="155"/>
      </w:pPr>
      <w:r>
        <w:rPr>
          <w:spacing w:val="-2"/>
        </w:rPr>
        <w:t>Online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Informácie</w:t>
      </w:r>
      <w:r>
        <w:rPr>
          <w:spacing w:val="-4"/>
          <w:sz w:val="22"/>
        </w:rPr>
        <w:t> </w:t>
      </w:r>
      <w:r>
        <w:rPr>
          <w:sz w:val="22"/>
        </w:rPr>
        <w:t>o</w:t>
      </w:r>
      <w:r>
        <w:rPr>
          <w:spacing w:val="-4"/>
          <w:sz w:val="22"/>
        </w:rPr>
        <w:t> </w:t>
      </w:r>
      <w:r>
        <w:rPr>
          <w:sz w:val="22"/>
        </w:rPr>
        <w:t>Európskej</w:t>
      </w:r>
      <w:r>
        <w:rPr>
          <w:spacing w:val="-4"/>
          <w:sz w:val="22"/>
        </w:rPr>
        <w:t> </w:t>
      </w:r>
      <w:r>
        <w:rPr>
          <w:sz w:val="22"/>
        </w:rPr>
        <w:t>únii</w:t>
      </w:r>
      <w:r>
        <w:rPr>
          <w:spacing w:val="-4"/>
          <w:sz w:val="22"/>
        </w:rPr>
        <w:t> </w:t>
      </w:r>
      <w:r>
        <w:rPr>
          <w:sz w:val="22"/>
        </w:rPr>
        <w:t>sú</w:t>
      </w:r>
      <w:r>
        <w:rPr>
          <w:spacing w:val="-4"/>
          <w:sz w:val="22"/>
        </w:rPr>
        <w:t> </w:t>
      </w:r>
      <w:r>
        <w:rPr>
          <w:sz w:val="22"/>
        </w:rPr>
        <w:t>dostupné</w:t>
      </w:r>
      <w:r>
        <w:rPr>
          <w:spacing w:val="-4"/>
          <w:sz w:val="22"/>
        </w:rPr>
        <w:t> </w:t>
      </w:r>
      <w:r>
        <w:rPr>
          <w:sz w:val="22"/>
        </w:rPr>
        <w:t>vo</w:t>
      </w:r>
      <w:r>
        <w:rPr>
          <w:spacing w:val="-4"/>
          <w:sz w:val="22"/>
        </w:rPr>
        <w:t> </w:t>
      </w:r>
      <w:r>
        <w:rPr>
          <w:sz w:val="22"/>
        </w:rPr>
        <w:t>všetkých</w:t>
      </w:r>
      <w:r>
        <w:rPr>
          <w:spacing w:val="-4"/>
          <w:sz w:val="22"/>
        </w:rPr>
        <w:t> </w:t>
      </w:r>
      <w:r>
        <w:rPr>
          <w:sz w:val="22"/>
        </w:rPr>
        <w:t>úradných</w:t>
      </w:r>
      <w:r>
        <w:rPr>
          <w:spacing w:val="-4"/>
          <w:sz w:val="22"/>
        </w:rPr>
        <w:t> </w:t>
      </w:r>
      <w:r>
        <w:rPr>
          <w:sz w:val="22"/>
        </w:rPr>
        <w:t>jazykoch</w:t>
      </w:r>
      <w:r>
        <w:rPr>
          <w:spacing w:val="-4"/>
          <w:sz w:val="22"/>
        </w:rPr>
        <w:t> </w:t>
      </w:r>
      <w:r>
        <w:rPr>
          <w:sz w:val="22"/>
        </w:rPr>
        <w:t>Európskej</w:t>
      </w:r>
      <w:r>
        <w:rPr>
          <w:spacing w:val="-4"/>
          <w:sz w:val="22"/>
        </w:rPr>
        <w:t> </w:t>
      </w:r>
      <w:r>
        <w:rPr>
          <w:sz w:val="22"/>
        </w:rPr>
        <w:t>únie</w:t>
      </w:r>
      <w:r>
        <w:rPr>
          <w:spacing w:val="-4"/>
          <w:sz w:val="22"/>
        </w:rPr>
        <w:t> </w:t>
      </w:r>
      <w:r>
        <w:rPr>
          <w:sz w:val="22"/>
        </w:rPr>
        <w:t>na</w:t>
      </w:r>
      <w:r>
        <w:rPr>
          <w:spacing w:val="-4"/>
          <w:sz w:val="22"/>
        </w:rPr>
        <w:t> </w:t>
      </w:r>
      <w:r>
        <w:rPr>
          <w:sz w:val="22"/>
        </w:rPr>
        <w:t>webovej stránke Europa (</w:t>
      </w:r>
      <w:hyperlink r:id="rId12">
        <w:r>
          <w:rPr>
            <w:color w:val="0000FF"/>
            <w:sz w:val="22"/>
            <w:u w:val="single" w:color="0000FF"/>
          </w:rPr>
          <w:t>european-union.europa.eu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113"/>
      </w:pPr>
      <w:r>
        <w:rPr/>
        <w:t>Publikácie</w:t>
      </w:r>
      <w:r>
        <w:rPr>
          <w:spacing w:val="-10"/>
        </w:rPr>
        <w:t> </w:t>
      </w:r>
      <w:r>
        <w:rPr>
          <w:spacing w:val="-5"/>
        </w:rPr>
        <w:t>EÚ</w:t>
      </w:r>
    </w:p>
    <w:p>
      <w:pPr>
        <w:spacing w:before="167"/>
        <w:ind w:left="85" w:right="0" w:firstLine="0"/>
        <w:jc w:val="left"/>
        <w:rPr>
          <w:sz w:val="22"/>
        </w:rPr>
      </w:pPr>
      <w:r>
        <w:rPr>
          <w:sz w:val="22"/>
        </w:rPr>
        <w:t>Publikácie</w:t>
      </w:r>
      <w:r>
        <w:rPr>
          <w:spacing w:val="-7"/>
          <w:sz w:val="22"/>
        </w:rPr>
        <w:t> </w:t>
      </w:r>
      <w:r>
        <w:rPr>
          <w:sz w:val="22"/>
        </w:rPr>
        <w:t>EÚ</w:t>
      </w:r>
      <w:r>
        <w:rPr>
          <w:spacing w:val="-4"/>
          <w:sz w:val="22"/>
        </w:rPr>
        <w:t> </w:t>
      </w:r>
      <w:r>
        <w:rPr>
          <w:sz w:val="22"/>
        </w:rPr>
        <w:t>si</w:t>
      </w:r>
      <w:r>
        <w:rPr>
          <w:spacing w:val="-4"/>
          <w:sz w:val="22"/>
        </w:rPr>
        <w:t> </w:t>
      </w:r>
      <w:r>
        <w:rPr>
          <w:sz w:val="22"/>
        </w:rPr>
        <w:t>môžete</w:t>
      </w:r>
      <w:r>
        <w:rPr>
          <w:spacing w:val="-5"/>
          <w:sz w:val="22"/>
        </w:rPr>
        <w:t> </w:t>
      </w:r>
      <w:r>
        <w:rPr>
          <w:sz w:val="22"/>
        </w:rPr>
        <w:t>pozrieť</w:t>
      </w:r>
      <w:r>
        <w:rPr>
          <w:spacing w:val="-4"/>
          <w:sz w:val="22"/>
        </w:rPr>
        <w:t> </w:t>
      </w:r>
      <w:r>
        <w:rPr>
          <w:sz w:val="22"/>
        </w:rPr>
        <w:t>alebo</w:t>
      </w:r>
      <w:r>
        <w:rPr>
          <w:spacing w:val="-4"/>
          <w:sz w:val="22"/>
        </w:rPr>
        <w:t> </w:t>
      </w:r>
      <w:r>
        <w:rPr>
          <w:sz w:val="22"/>
        </w:rPr>
        <w:t>objednať</w:t>
      </w:r>
      <w:r>
        <w:rPr>
          <w:spacing w:val="-5"/>
          <w:sz w:val="22"/>
        </w:rPr>
        <w:t> </w:t>
      </w:r>
      <w:r>
        <w:rPr>
          <w:sz w:val="22"/>
        </w:rPr>
        <w:t>na</w:t>
      </w:r>
      <w:r>
        <w:rPr>
          <w:spacing w:val="-4"/>
          <w:sz w:val="22"/>
        </w:rPr>
        <w:t> </w:t>
      </w:r>
      <w:r>
        <w:rPr>
          <w:sz w:val="22"/>
        </w:rPr>
        <w:t>webovej</w:t>
      </w:r>
      <w:r>
        <w:rPr>
          <w:spacing w:val="-4"/>
          <w:sz w:val="22"/>
        </w:rPr>
        <w:t> </w:t>
      </w:r>
      <w:r>
        <w:rPr>
          <w:sz w:val="22"/>
        </w:rPr>
        <w:t>stránke</w:t>
      </w:r>
      <w:r>
        <w:rPr>
          <w:spacing w:val="-4"/>
          <w:sz w:val="22"/>
        </w:rPr>
        <w:t> </w:t>
      </w:r>
      <w:hyperlink r:id="rId13">
        <w:r>
          <w:rPr>
            <w:color w:val="0000FF"/>
            <w:spacing w:val="-2"/>
            <w:sz w:val="22"/>
            <w:u w:val="single" w:color="0000FF"/>
          </w:rPr>
          <w:t>op.europa.eu/sk/publications</w:t>
        </w:r>
      </w:hyperlink>
      <w:r>
        <w:rPr>
          <w:spacing w:val="-2"/>
          <w:sz w:val="22"/>
          <w:u w:val="none"/>
        </w:rPr>
        <w:t>.</w:t>
      </w:r>
    </w:p>
    <w:p>
      <w:pPr>
        <w:spacing w:line="280" w:lineRule="auto" w:before="53"/>
        <w:ind w:left="85" w:right="0" w:firstLine="0"/>
        <w:jc w:val="left"/>
        <w:rPr>
          <w:sz w:val="22"/>
        </w:rPr>
      </w:pPr>
      <w:r>
        <w:rPr>
          <w:sz w:val="22"/>
        </w:rPr>
        <w:t>Ak</w:t>
      </w:r>
      <w:r>
        <w:rPr>
          <w:spacing w:val="-4"/>
          <w:sz w:val="22"/>
        </w:rPr>
        <w:t> </w:t>
      </w:r>
      <w:r>
        <w:rPr>
          <w:sz w:val="22"/>
        </w:rPr>
        <w:t>chcete</w:t>
      </w:r>
      <w:r>
        <w:rPr>
          <w:spacing w:val="-4"/>
          <w:sz w:val="22"/>
        </w:rPr>
        <w:t> </w:t>
      </w:r>
      <w:r>
        <w:rPr>
          <w:sz w:val="22"/>
        </w:rPr>
        <w:t>získať</w:t>
      </w:r>
      <w:r>
        <w:rPr>
          <w:spacing w:val="-4"/>
          <w:sz w:val="22"/>
        </w:rPr>
        <w:t> </w:t>
      </w:r>
      <w:r>
        <w:rPr>
          <w:sz w:val="22"/>
        </w:rPr>
        <w:t>viac</w:t>
      </w:r>
      <w:r>
        <w:rPr>
          <w:spacing w:val="-4"/>
          <w:sz w:val="22"/>
        </w:rPr>
        <w:t> </w:t>
      </w:r>
      <w:r>
        <w:rPr>
          <w:sz w:val="22"/>
        </w:rPr>
        <w:t>výtlačkov</w:t>
      </w:r>
      <w:r>
        <w:rPr>
          <w:spacing w:val="-4"/>
          <w:sz w:val="22"/>
        </w:rPr>
        <w:t> </w:t>
      </w:r>
      <w:r>
        <w:rPr>
          <w:sz w:val="22"/>
        </w:rPr>
        <w:t>bezplatných</w:t>
      </w:r>
      <w:r>
        <w:rPr>
          <w:spacing w:val="-4"/>
          <w:sz w:val="22"/>
        </w:rPr>
        <w:t> </w:t>
      </w:r>
      <w:r>
        <w:rPr>
          <w:sz w:val="22"/>
        </w:rPr>
        <w:t>publikácií,</w:t>
      </w:r>
      <w:r>
        <w:rPr>
          <w:spacing w:val="-4"/>
          <w:sz w:val="22"/>
        </w:rPr>
        <w:t> </w:t>
      </w:r>
      <w:r>
        <w:rPr>
          <w:sz w:val="22"/>
        </w:rPr>
        <w:t>obráťte</w:t>
      </w:r>
      <w:r>
        <w:rPr>
          <w:spacing w:val="-4"/>
          <w:sz w:val="22"/>
        </w:rPr>
        <w:t> </w:t>
      </w:r>
      <w:r>
        <w:rPr>
          <w:sz w:val="22"/>
        </w:rPr>
        <w:t>sa</w:t>
      </w:r>
      <w:r>
        <w:rPr>
          <w:spacing w:val="-4"/>
          <w:sz w:val="22"/>
        </w:rPr>
        <w:t> </w:t>
      </w:r>
      <w:r>
        <w:rPr>
          <w:sz w:val="22"/>
        </w:rPr>
        <w:t>na</w:t>
      </w:r>
      <w:r>
        <w:rPr>
          <w:spacing w:val="-4"/>
          <w:sz w:val="22"/>
        </w:rPr>
        <w:t> </w:t>
      </w:r>
      <w:r>
        <w:rPr>
          <w:sz w:val="22"/>
        </w:rPr>
        <w:t>službu</w:t>
      </w:r>
      <w:r>
        <w:rPr>
          <w:spacing w:val="-4"/>
          <w:sz w:val="22"/>
        </w:rPr>
        <w:t> </w:t>
      </w:r>
      <w:r>
        <w:rPr>
          <w:sz w:val="22"/>
        </w:rPr>
        <w:t>Europe</w:t>
      </w:r>
      <w:r>
        <w:rPr>
          <w:spacing w:val="-4"/>
          <w:sz w:val="22"/>
        </w:rPr>
        <w:t> </w:t>
      </w:r>
      <w:r>
        <w:rPr>
          <w:sz w:val="22"/>
        </w:rPr>
        <w:t>Direct</w:t>
      </w:r>
      <w:r>
        <w:rPr>
          <w:spacing w:val="-4"/>
          <w:sz w:val="22"/>
        </w:rPr>
        <w:t> </w:t>
      </w:r>
      <w:r>
        <w:rPr>
          <w:sz w:val="22"/>
        </w:rPr>
        <w:t>alebo</w:t>
      </w:r>
      <w:r>
        <w:rPr>
          <w:spacing w:val="-4"/>
          <w:sz w:val="22"/>
        </w:rPr>
        <w:t> </w:t>
      </w:r>
      <w:r>
        <w:rPr>
          <w:sz w:val="22"/>
        </w:rPr>
        <w:t>vaše miestne dokumentačné centrum (</w:t>
      </w:r>
      <w:hyperlink r:id="rId10">
        <w:r>
          <w:rPr>
            <w:color w:val="0000FF"/>
            <w:sz w:val="22"/>
            <w:u w:val="single" w:color="0000FF"/>
          </w:rPr>
          <w:t>europa.eu/european-union/contact</w:t>
        </w:r>
      </w:hyperlink>
      <w:hyperlink r:id="rId10">
        <w:r>
          <w:rPr>
            <w:rFonts w:ascii="Palatino Linotype" w:hAnsi="Palatino Linotype"/>
            <w:color w:val="0000FF"/>
            <w:sz w:val="22"/>
            <w:u w:val="single" w:color="0000FF"/>
          </w:rPr>
          <w:t>‑</w:t>
        </w:r>
      </w:hyperlink>
      <w:hyperlink r:id="rId10">
        <w:r>
          <w:rPr>
            <w:color w:val="0000FF"/>
            <w:sz w:val="22"/>
            <w:u w:val="single" w:color="0000FF"/>
          </w:rPr>
          <w:t>eu/meet-us_sk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Právo</w:t>
      </w:r>
      <w:r>
        <w:rPr>
          <w:spacing w:val="-5"/>
        </w:rPr>
        <w:t> </w:t>
      </w:r>
      <w:r>
        <w:rPr/>
        <w:t>EÚ</w:t>
      </w:r>
      <w:r>
        <w:rPr>
          <w:spacing w:val="-4"/>
        </w:rPr>
        <w:t> </w:t>
      </w:r>
      <w:r>
        <w:rPr/>
        <w:t>a</w:t>
      </w:r>
      <w:r>
        <w:rPr>
          <w:spacing w:val="-4"/>
        </w:rPr>
        <w:t> </w:t>
      </w:r>
      <w:r>
        <w:rPr/>
        <w:t>súvisiace</w:t>
      </w:r>
      <w:r>
        <w:rPr>
          <w:spacing w:val="-4"/>
        </w:rPr>
        <w:t> </w:t>
      </w:r>
      <w:r>
        <w:rPr>
          <w:spacing w:val="-2"/>
        </w:rPr>
        <w:t>dokumenty</w:t>
      </w:r>
    </w:p>
    <w:p>
      <w:pPr>
        <w:spacing w:line="290" w:lineRule="auto" w:before="166"/>
        <w:ind w:left="85" w:right="0" w:firstLine="0"/>
        <w:jc w:val="left"/>
        <w:rPr>
          <w:sz w:val="22"/>
        </w:rPr>
      </w:pPr>
      <w:r>
        <w:rPr>
          <w:sz w:val="22"/>
        </w:rPr>
        <w:t>Prístup</w:t>
      </w:r>
      <w:r>
        <w:rPr>
          <w:spacing w:val="-3"/>
          <w:sz w:val="22"/>
        </w:rPr>
        <w:t> </w:t>
      </w:r>
      <w:r>
        <w:rPr>
          <w:sz w:val="22"/>
        </w:rPr>
        <w:t>k</w:t>
      </w:r>
      <w:r>
        <w:rPr>
          <w:spacing w:val="-3"/>
          <w:sz w:val="22"/>
        </w:rPr>
        <w:t> </w:t>
      </w:r>
      <w:r>
        <w:rPr>
          <w:sz w:val="22"/>
        </w:rPr>
        <w:t>právnym</w:t>
      </w:r>
      <w:r>
        <w:rPr>
          <w:spacing w:val="-3"/>
          <w:sz w:val="22"/>
        </w:rPr>
        <w:t> </w:t>
      </w:r>
      <w:r>
        <w:rPr>
          <w:sz w:val="22"/>
        </w:rPr>
        <w:t>informáciám</w:t>
      </w:r>
      <w:r>
        <w:rPr>
          <w:spacing w:val="-3"/>
          <w:sz w:val="22"/>
        </w:rPr>
        <w:t> </w:t>
      </w:r>
      <w:r>
        <w:rPr>
          <w:sz w:val="22"/>
        </w:rPr>
        <w:t>EÚ</w:t>
      </w:r>
      <w:r>
        <w:rPr>
          <w:spacing w:val="-3"/>
          <w:sz w:val="22"/>
        </w:rPr>
        <w:t> </w:t>
      </w:r>
      <w:r>
        <w:rPr>
          <w:sz w:val="22"/>
        </w:rPr>
        <w:t>vrátane</w:t>
      </w:r>
      <w:r>
        <w:rPr>
          <w:spacing w:val="-3"/>
          <w:sz w:val="22"/>
        </w:rPr>
        <w:t> </w:t>
      </w:r>
      <w:r>
        <w:rPr>
          <w:sz w:val="22"/>
        </w:rPr>
        <w:t>všetkých</w:t>
      </w:r>
      <w:r>
        <w:rPr>
          <w:spacing w:val="-3"/>
          <w:sz w:val="22"/>
        </w:rPr>
        <w:t> </w:t>
      </w:r>
      <w:r>
        <w:rPr>
          <w:sz w:val="22"/>
        </w:rPr>
        <w:t>právnych</w:t>
      </w:r>
      <w:r>
        <w:rPr>
          <w:spacing w:val="-3"/>
          <w:sz w:val="22"/>
        </w:rPr>
        <w:t> </w:t>
      </w:r>
      <w:r>
        <w:rPr>
          <w:sz w:val="22"/>
        </w:rPr>
        <w:t>predpisov</w:t>
      </w:r>
      <w:r>
        <w:rPr>
          <w:spacing w:val="-3"/>
          <w:sz w:val="22"/>
        </w:rPr>
        <w:t> </w:t>
      </w:r>
      <w:r>
        <w:rPr>
          <w:sz w:val="22"/>
        </w:rPr>
        <w:t>EÚ</w:t>
      </w:r>
      <w:r>
        <w:rPr>
          <w:spacing w:val="-3"/>
          <w:sz w:val="22"/>
        </w:rPr>
        <w:t> </w:t>
      </w:r>
      <w:r>
        <w:rPr>
          <w:sz w:val="22"/>
        </w:rPr>
        <w:t>od</w:t>
      </w:r>
      <w:r>
        <w:rPr>
          <w:spacing w:val="-3"/>
          <w:sz w:val="22"/>
        </w:rPr>
        <w:t> </w:t>
      </w:r>
      <w:r>
        <w:rPr>
          <w:sz w:val="22"/>
        </w:rPr>
        <w:t>roku</w:t>
      </w:r>
      <w:r>
        <w:rPr>
          <w:spacing w:val="-3"/>
          <w:sz w:val="22"/>
        </w:rPr>
        <w:t> </w:t>
      </w:r>
      <w:r>
        <w:rPr>
          <w:sz w:val="22"/>
        </w:rPr>
        <w:t>1951</w:t>
      </w:r>
      <w:r>
        <w:rPr>
          <w:spacing w:val="-3"/>
          <w:sz w:val="22"/>
        </w:rPr>
        <w:t> </w:t>
      </w:r>
      <w:r>
        <w:rPr>
          <w:sz w:val="22"/>
        </w:rPr>
        <w:t>vo</w:t>
      </w:r>
      <w:r>
        <w:rPr>
          <w:spacing w:val="-3"/>
          <w:sz w:val="22"/>
        </w:rPr>
        <w:t> </w:t>
      </w:r>
      <w:r>
        <w:rPr>
          <w:sz w:val="22"/>
        </w:rPr>
        <w:t>všetkých úradných jazykoch nájdete na webovej stránke EUR-Lexu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114"/>
      </w:pPr>
      <w:r>
        <w:rPr/>
        <w:t>Otvorené</w:t>
      </w:r>
      <w:r>
        <w:rPr>
          <w:spacing w:val="-7"/>
        </w:rPr>
        <w:t> </w:t>
      </w:r>
      <w:r>
        <w:rPr/>
        <w:t>údaje</w:t>
      </w:r>
      <w:r>
        <w:rPr>
          <w:spacing w:val="-6"/>
        </w:rPr>
        <w:t> </w:t>
      </w:r>
      <w:r>
        <w:rPr>
          <w:spacing w:val="-5"/>
        </w:rPr>
        <w:t>EÚ</w:t>
      </w:r>
    </w:p>
    <w:p>
      <w:pPr>
        <w:spacing w:line="290" w:lineRule="auto" w:before="166"/>
        <w:ind w:left="85" w:right="270" w:firstLine="0"/>
        <w:jc w:val="left"/>
        <w:rPr>
          <w:sz w:val="22"/>
        </w:rPr>
      </w:pPr>
      <w:r>
        <w:rPr>
          <w:sz w:val="22"/>
        </w:rPr>
        <w:t>Portál</w:t>
      </w:r>
      <w:r>
        <w:rPr>
          <w:spacing w:val="-4"/>
          <w:sz w:val="22"/>
        </w:rPr>
        <w:t>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pacing w:val="-4"/>
          <w:sz w:val="22"/>
          <w:u w:val="none"/>
        </w:rPr>
        <w:t> </w:t>
      </w:r>
      <w:r>
        <w:rPr>
          <w:sz w:val="22"/>
          <w:u w:val="none"/>
        </w:rPr>
        <w:t>poskytuje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prístup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k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otvoreným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súborom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údajov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–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datasetom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z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inštitúcií,</w:t>
      </w:r>
      <w:r>
        <w:rPr>
          <w:spacing w:val="-4"/>
          <w:sz w:val="22"/>
          <w:u w:val="none"/>
        </w:rPr>
        <w:t> </w:t>
      </w:r>
      <w:r>
        <w:rPr>
          <w:sz w:val="22"/>
          <w:u w:val="none"/>
        </w:rPr>
        <w:t>orgánov a agentúr EÚ. Dáta možno stiahnuť a opätovne bezplatne použiť na komerčné aj nekomerčné účely. Portál poskytuje prístup aj k mnohým súborom údajov – datasetom z európskych krajín.</w:t>
      </w:r>
    </w:p>
    <w:sectPr>
      <w:pgSz w:w="11910" w:h="16840"/>
      <w:pgMar w:top="480" w:bottom="280" w:left="708" w:right="8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Palatino Linotype">
    <w:altName w:val="Palatino Linotype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sk-SK" w:eastAsia="en-US" w:bidi="ar-SA"/>
      </w:rPr>
    </w:lvl>
    <w:lvl w:ilvl="1">
      <w:start w:val="0"/>
      <w:numFmt w:val="bullet"/>
      <w:lvlText w:val="•"/>
      <w:lvlJc w:val="left"/>
      <w:pPr>
        <w:ind w:left="1467" w:hanging="400"/>
      </w:pPr>
      <w:rPr>
        <w:rFonts w:hint="default"/>
        <w:lang w:val="sk-SK" w:eastAsia="en-US" w:bidi="ar-SA"/>
      </w:rPr>
    </w:lvl>
    <w:lvl w:ilvl="2">
      <w:start w:val="0"/>
      <w:numFmt w:val="bullet"/>
      <w:lvlText w:val="•"/>
      <w:lvlJc w:val="left"/>
      <w:pPr>
        <w:ind w:left="2454" w:hanging="400"/>
      </w:pPr>
      <w:rPr>
        <w:rFonts w:hint="default"/>
        <w:lang w:val="sk-SK" w:eastAsia="en-US" w:bidi="ar-SA"/>
      </w:rPr>
    </w:lvl>
    <w:lvl w:ilvl="3">
      <w:start w:val="0"/>
      <w:numFmt w:val="bullet"/>
      <w:lvlText w:val="•"/>
      <w:lvlJc w:val="left"/>
      <w:pPr>
        <w:ind w:left="3441" w:hanging="400"/>
      </w:pPr>
      <w:rPr>
        <w:rFonts w:hint="default"/>
        <w:lang w:val="sk-SK" w:eastAsia="en-US" w:bidi="ar-SA"/>
      </w:rPr>
    </w:lvl>
    <w:lvl w:ilvl="4">
      <w:start w:val="0"/>
      <w:numFmt w:val="bullet"/>
      <w:lvlText w:val="•"/>
      <w:lvlJc w:val="left"/>
      <w:pPr>
        <w:ind w:left="4428" w:hanging="400"/>
      </w:pPr>
      <w:rPr>
        <w:rFonts w:hint="default"/>
        <w:lang w:val="sk-SK" w:eastAsia="en-US" w:bidi="ar-SA"/>
      </w:rPr>
    </w:lvl>
    <w:lvl w:ilvl="5">
      <w:start w:val="0"/>
      <w:numFmt w:val="bullet"/>
      <w:lvlText w:val="•"/>
      <w:lvlJc w:val="left"/>
      <w:pPr>
        <w:ind w:left="5415" w:hanging="400"/>
      </w:pPr>
      <w:rPr>
        <w:rFonts w:hint="default"/>
        <w:lang w:val="sk-SK" w:eastAsia="en-US" w:bidi="ar-SA"/>
      </w:rPr>
    </w:lvl>
    <w:lvl w:ilvl="6">
      <w:start w:val="0"/>
      <w:numFmt w:val="bullet"/>
      <w:lvlText w:val="•"/>
      <w:lvlJc w:val="left"/>
      <w:pPr>
        <w:ind w:left="6402" w:hanging="400"/>
      </w:pPr>
      <w:rPr>
        <w:rFonts w:hint="default"/>
        <w:lang w:val="sk-SK" w:eastAsia="en-US" w:bidi="ar-SA"/>
      </w:rPr>
    </w:lvl>
    <w:lvl w:ilvl="7">
      <w:start w:val="0"/>
      <w:numFmt w:val="bullet"/>
      <w:lvlText w:val="•"/>
      <w:lvlJc w:val="left"/>
      <w:pPr>
        <w:ind w:left="7389" w:hanging="400"/>
      </w:pPr>
      <w:rPr>
        <w:rFonts w:hint="default"/>
        <w:lang w:val="sk-SK" w:eastAsia="en-US" w:bidi="ar-SA"/>
      </w:rPr>
    </w:lvl>
    <w:lvl w:ilvl="8">
      <w:start w:val="0"/>
      <w:numFmt w:val="bullet"/>
      <w:lvlText w:val="•"/>
      <w:lvlJc w:val="left"/>
      <w:pPr>
        <w:ind w:left="8376" w:hanging="400"/>
      </w:pPr>
      <w:rPr>
        <w:rFonts w:hint="default"/>
        <w:lang w:val="sk-SK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sk-SK" w:eastAsia="en-US" w:bidi="ar-SA"/>
      </w:rPr>
    </w:lvl>
    <w:lvl w:ilvl="1">
      <w:start w:val="0"/>
      <w:numFmt w:val="bullet"/>
      <w:lvlText w:val="•"/>
      <w:lvlJc w:val="left"/>
      <w:pPr>
        <w:ind w:left="1377" w:hanging="300"/>
      </w:pPr>
      <w:rPr>
        <w:rFonts w:hint="default"/>
        <w:lang w:val="sk-SK" w:eastAsia="en-US" w:bidi="ar-SA"/>
      </w:rPr>
    </w:lvl>
    <w:lvl w:ilvl="2">
      <w:start w:val="0"/>
      <w:numFmt w:val="bullet"/>
      <w:lvlText w:val="•"/>
      <w:lvlJc w:val="left"/>
      <w:pPr>
        <w:ind w:left="2374" w:hanging="300"/>
      </w:pPr>
      <w:rPr>
        <w:rFonts w:hint="default"/>
        <w:lang w:val="sk-SK" w:eastAsia="en-US" w:bidi="ar-SA"/>
      </w:rPr>
    </w:lvl>
    <w:lvl w:ilvl="3">
      <w:start w:val="0"/>
      <w:numFmt w:val="bullet"/>
      <w:lvlText w:val="•"/>
      <w:lvlJc w:val="left"/>
      <w:pPr>
        <w:ind w:left="3371" w:hanging="300"/>
      </w:pPr>
      <w:rPr>
        <w:rFonts w:hint="default"/>
        <w:lang w:val="sk-SK" w:eastAsia="en-US" w:bidi="ar-SA"/>
      </w:rPr>
    </w:lvl>
    <w:lvl w:ilvl="4">
      <w:start w:val="0"/>
      <w:numFmt w:val="bullet"/>
      <w:lvlText w:val="•"/>
      <w:lvlJc w:val="left"/>
      <w:pPr>
        <w:ind w:left="4368" w:hanging="300"/>
      </w:pPr>
      <w:rPr>
        <w:rFonts w:hint="default"/>
        <w:lang w:val="sk-SK" w:eastAsia="en-US" w:bidi="ar-SA"/>
      </w:rPr>
    </w:lvl>
    <w:lvl w:ilvl="5">
      <w:start w:val="0"/>
      <w:numFmt w:val="bullet"/>
      <w:lvlText w:val="•"/>
      <w:lvlJc w:val="left"/>
      <w:pPr>
        <w:ind w:left="5365" w:hanging="300"/>
      </w:pPr>
      <w:rPr>
        <w:rFonts w:hint="default"/>
        <w:lang w:val="sk-SK" w:eastAsia="en-US" w:bidi="ar-SA"/>
      </w:rPr>
    </w:lvl>
    <w:lvl w:ilvl="6">
      <w:start w:val="0"/>
      <w:numFmt w:val="bullet"/>
      <w:lvlText w:val="•"/>
      <w:lvlJc w:val="left"/>
      <w:pPr>
        <w:ind w:left="6362" w:hanging="300"/>
      </w:pPr>
      <w:rPr>
        <w:rFonts w:hint="default"/>
        <w:lang w:val="sk-SK" w:eastAsia="en-US" w:bidi="ar-SA"/>
      </w:rPr>
    </w:lvl>
    <w:lvl w:ilvl="7">
      <w:start w:val="0"/>
      <w:numFmt w:val="bullet"/>
      <w:lvlText w:val="•"/>
      <w:lvlJc w:val="left"/>
      <w:pPr>
        <w:ind w:left="7359" w:hanging="300"/>
      </w:pPr>
      <w:rPr>
        <w:rFonts w:hint="default"/>
        <w:lang w:val="sk-SK" w:eastAsia="en-US" w:bidi="ar-SA"/>
      </w:rPr>
    </w:lvl>
    <w:lvl w:ilvl="8">
      <w:start w:val="0"/>
      <w:numFmt w:val="bullet"/>
      <w:lvlText w:val="•"/>
      <w:lvlJc w:val="left"/>
      <w:pPr>
        <w:ind w:left="8356" w:hanging="300"/>
      </w:pPr>
      <w:rPr>
        <w:rFonts w:hint="default"/>
        <w:lang w:val="sk-SK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sk-SK" w:eastAsia="en-US" w:bidi="ar-SA"/>
      </w:rPr>
    </w:lvl>
    <w:lvl w:ilvl="1">
      <w:start w:val="0"/>
      <w:numFmt w:val="bullet"/>
      <w:lvlText w:val="•"/>
      <w:lvlJc w:val="left"/>
      <w:pPr>
        <w:ind w:left="1467" w:hanging="380"/>
      </w:pPr>
      <w:rPr>
        <w:rFonts w:hint="default"/>
        <w:lang w:val="sk-SK" w:eastAsia="en-US" w:bidi="ar-SA"/>
      </w:rPr>
    </w:lvl>
    <w:lvl w:ilvl="2">
      <w:start w:val="0"/>
      <w:numFmt w:val="bullet"/>
      <w:lvlText w:val="•"/>
      <w:lvlJc w:val="left"/>
      <w:pPr>
        <w:ind w:left="2454" w:hanging="380"/>
      </w:pPr>
      <w:rPr>
        <w:rFonts w:hint="default"/>
        <w:lang w:val="sk-SK" w:eastAsia="en-US" w:bidi="ar-SA"/>
      </w:rPr>
    </w:lvl>
    <w:lvl w:ilvl="3">
      <w:start w:val="0"/>
      <w:numFmt w:val="bullet"/>
      <w:lvlText w:val="•"/>
      <w:lvlJc w:val="left"/>
      <w:pPr>
        <w:ind w:left="3441" w:hanging="380"/>
      </w:pPr>
      <w:rPr>
        <w:rFonts w:hint="default"/>
        <w:lang w:val="sk-SK" w:eastAsia="en-US" w:bidi="ar-SA"/>
      </w:rPr>
    </w:lvl>
    <w:lvl w:ilvl="4">
      <w:start w:val="0"/>
      <w:numFmt w:val="bullet"/>
      <w:lvlText w:val="•"/>
      <w:lvlJc w:val="left"/>
      <w:pPr>
        <w:ind w:left="4428" w:hanging="380"/>
      </w:pPr>
      <w:rPr>
        <w:rFonts w:hint="default"/>
        <w:lang w:val="sk-SK" w:eastAsia="en-US" w:bidi="ar-SA"/>
      </w:rPr>
    </w:lvl>
    <w:lvl w:ilvl="5">
      <w:start w:val="0"/>
      <w:numFmt w:val="bullet"/>
      <w:lvlText w:val="•"/>
      <w:lvlJc w:val="left"/>
      <w:pPr>
        <w:ind w:left="5415" w:hanging="380"/>
      </w:pPr>
      <w:rPr>
        <w:rFonts w:hint="default"/>
        <w:lang w:val="sk-SK" w:eastAsia="en-US" w:bidi="ar-SA"/>
      </w:rPr>
    </w:lvl>
    <w:lvl w:ilvl="6">
      <w:start w:val="0"/>
      <w:numFmt w:val="bullet"/>
      <w:lvlText w:val="•"/>
      <w:lvlJc w:val="left"/>
      <w:pPr>
        <w:ind w:left="6402" w:hanging="380"/>
      </w:pPr>
      <w:rPr>
        <w:rFonts w:hint="default"/>
        <w:lang w:val="sk-SK" w:eastAsia="en-US" w:bidi="ar-SA"/>
      </w:rPr>
    </w:lvl>
    <w:lvl w:ilvl="7">
      <w:start w:val="0"/>
      <w:numFmt w:val="bullet"/>
      <w:lvlText w:val="•"/>
      <w:lvlJc w:val="left"/>
      <w:pPr>
        <w:ind w:left="7389" w:hanging="380"/>
      </w:pPr>
      <w:rPr>
        <w:rFonts w:hint="default"/>
        <w:lang w:val="sk-SK" w:eastAsia="en-US" w:bidi="ar-SA"/>
      </w:rPr>
    </w:lvl>
    <w:lvl w:ilvl="8">
      <w:start w:val="0"/>
      <w:numFmt w:val="bullet"/>
      <w:lvlText w:val="•"/>
      <w:lvlJc w:val="left"/>
      <w:pPr>
        <w:ind w:left="8376" w:hanging="380"/>
      </w:pPr>
      <w:rPr>
        <w:rFonts w:hint="default"/>
        <w:lang w:val="sk-SK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sk-SK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sk-SK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sk-SK" w:eastAsia="en-US" w:bidi="ar-SA"/>
    </w:rPr>
  </w:style>
  <w:style w:styleId="Heading2" w:type="paragraph">
    <w:name w:val="Heading 2"/>
    <w:basedOn w:val="Normal"/>
    <w:uiPriority w:val="1"/>
    <w:qFormat/>
    <w:pPr>
      <w:spacing w:before="102"/>
      <w:ind w:left="85"/>
      <w:outlineLvl w:val="2"/>
    </w:pPr>
    <w:rPr>
      <w:rFonts w:ascii="Arial" w:hAnsi="Arial" w:eastAsia="Arial" w:cs="Arial"/>
      <w:b/>
      <w:bCs/>
      <w:sz w:val="22"/>
      <w:szCs w:val="22"/>
      <w:lang w:val="sk-SK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474" w:hanging="379"/>
    </w:pPr>
    <w:rPr>
      <w:rFonts w:ascii="Arial" w:hAnsi="Arial" w:eastAsia="Arial" w:cs="Arial"/>
      <w:lang w:val="sk-SK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sk-SK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a.eu/european-union/contact-eu/meet-us_sk" TargetMode="External"/><Relationship Id="rId11" Type="http://schemas.openxmlformats.org/officeDocument/2006/relationships/hyperlink" Target="https://europa.eu/european-union/contact-eu/write-us_sk" TargetMode="External"/><Relationship Id="rId12" Type="http://schemas.openxmlformats.org/officeDocument/2006/relationships/hyperlink" Target="https://european-union.europa.eu/index_sk" TargetMode="External"/><Relationship Id="rId13" Type="http://schemas.openxmlformats.org/officeDocument/2006/relationships/hyperlink" Target="https://op.europa.eu/sk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sk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SK</dc:title>
  <dcterms:created xsi:type="dcterms:W3CDTF">2026-06-15T09:25:59Z</dcterms:created>
  <dcterms:modified xsi:type="dcterms:W3CDTF">2026-06-15T09:25:59Z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2026-05-19T00:00:00Z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2026-05-19T00:00:00Z</vt:filetime>
  </property>
</Properties>
</file>